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B513DC">
        <w:tc>
          <w:tcPr>
            <w:tcW w:w="509" w:type="dxa"/>
          </w:tcPr>
          <w:p w:rsidR="00B513DC" w:rsidRDefault="0057285D">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513DC" w:rsidRDefault="0057285D">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93.140</w:t>
            </w:r>
            <w:r>
              <w:rPr>
                <w:rFonts w:ascii="黑体" w:eastAsia="黑体" w:hAnsi="黑体"/>
                <w:sz w:val="21"/>
                <w:szCs w:val="21"/>
              </w:rPr>
              <w:fldChar w:fldCharType="end"/>
            </w:r>
            <w:bookmarkEnd w:id="0"/>
          </w:p>
        </w:tc>
      </w:tr>
      <w:tr w:rsidR="00B513DC">
        <w:tc>
          <w:tcPr>
            <w:tcW w:w="509" w:type="dxa"/>
          </w:tcPr>
          <w:p w:rsidR="00B513DC" w:rsidRDefault="0057285D">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B513DC" w:rsidRDefault="0057285D">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P 67</w:t>
            </w:r>
            <w:r>
              <w:rPr>
                <w:rFonts w:ascii="黑体" w:eastAsia="黑体" w:hAnsi="黑体"/>
                <w:sz w:val="21"/>
                <w:szCs w:val="21"/>
              </w:rPr>
              <w:fldChar w:fldCharType="end"/>
            </w:r>
            <w:bookmarkEnd w:id="1"/>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B513DC">
        <w:tc>
          <w:tcPr>
            <w:tcW w:w="6407" w:type="dxa"/>
          </w:tcPr>
          <w:p w:rsidR="00B513DC" w:rsidRDefault="0057285D">
            <w:pPr>
              <w:pStyle w:val="affffc"/>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2102</w:t>
            </w:r>
            <w:r>
              <w:fldChar w:fldCharType="end"/>
            </w:r>
            <w:bookmarkEnd w:id="3"/>
          </w:p>
        </w:tc>
      </w:tr>
    </w:tbl>
    <w:p w:rsidR="00B513DC" w:rsidRDefault="0057285D">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大连市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B513DC" w:rsidRDefault="0057285D">
      <w:pPr>
        <w:pStyle w:val="affffffffff"/>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2101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2025</w:t>
      </w:r>
      <w:r>
        <w:fldChar w:fldCharType="end"/>
      </w:r>
      <w:bookmarkEnd w:id="7"/>
    </w:p>
    <w:p w:rsidR="00B513DC" w:rsidRDefault="0057285D">
      <w:pPr>
        <w:pStyle w:val="affffffffff0"/>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B513DC" w:rsidRDefault="00B5081D">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mso-width-relative:page;mso-height-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B513DC" w:rsidRDefault="00B513DC">
      <w:pPr>
        <w:pStyle w:val="affffd"/>
        <w:framePr w:w="9639" w:h="6976" w:hRule="exact" w:hSpace="0" w:vSpace="0" w:wrap="around" w:hAnchor="page" w:y="6408"/>
        <w:jc w:val="center"/>
        <w:rPr>
          <w:rFonts w:ascii="黑体" w:eastAsia="黑体" w:hAnsi="黑体"/>
          <w:b w:val="0"/>
          <w:bCs w:val="0"/>
          <w:w w:val="100"/>
        </w:rPr>
      </w:pPr>
    </w:p>
    <w:p w:rsidR="00B513DC" w:rsidRDefault="0057285D">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水上旅游运输码头建设与管理规范</w:t>
      </w:r>
      <w:r>
        <w:fldChar w:fldCharType="end"/>
      </w:r>
      <w:bookmarkEnd w:id="9"/>
    </w:p>
    <w:p w:rsidR="00B513DC" w:rsidRDefault="00B513DC">
      <w:pPr>
        <w:framePr w:w="9639" w:h="6974" w:hRule="exact" w:wrap="around" w:vAnchor="page" w:hAnchor="page" w:x="1419" w:y="6408" w:anchorLock="1"/>
        <w:ind w:left="-1418"/>
      </w:pPr>
    </w:p>
    <w:p w:rsidR="00B513DC" w:rsidRDefault="0057285D">
      <w:pPr>
        <w:pStyle w:val="afffffff5"/>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点击此处添加标准名称的英文译名</w:t>
      </w:r>
      <w:r>
        <w:rPr>
          <w:rFonts w:ascii="黑体" w:eastAsia="黑体" w:hAnsi="黑体"/>
          <w:szCs w:val="28"/>
        </w:rPr>
        <w:fldChar w:fldCharType="end"/>
      </w:r>
      <w:bookmarkEnd w:id="10"/>
    </w:p>
    <w:p w:rsidR="00B513DC" w:rsidRDefault="00B513DC">
      <w:pPr>
        <w:framePr w:w="9639" w:h="6974" w:hRule="exact" w:wrap="around" w:vAnchor="page" w:hAnchor="page" w:x="1419" w:y="6408" w:anchorLock="1"/>
        <w:spacing w:line="760" w:lineRule="exact"/>
        <w:ind w:left="-1418"/>
      </w:pPr>
    </w:p>
    <w:p w:rsidR="00B513DC" w:rsidRDefault="00B513DC">
      <w:pPr>
        <w:pStyle w:val="afffffff5"/>
        <w:framePr w:w="9639" w:h="6974" w:hRule="exact" w:wrap="around" w:vAnchor="page" w:hAnchor="page" w:x="1419" w:y="6408" w:anchorLock="1"/>
        <w:textAlignment w:val="bottom"/>
        <w:rPr>
          <w:rFonts w:eastAsia="黑体"/>
          <w:szCs w:val="28"/>
        </w:rPr>
      </w:pPr>
    </w:p>
    <w:p w:rsidR="00B513DC" w:rsidRDefault="0057285D">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B5081D">
        <w:rPr>
          <w:sz w:val="24"/>
          <w:szCs w:val="28"/>
        </w:rPr>
      </w:r>
      <w:r w:rsidR="00B5081D">
        <w:rPr>
          <w:sz w:val="24"/>
          <w:szCs w:val="28"/>
        </w:rPr>
        <w:fldChar w:fldCharType="separate"/>
      </w:r>
      <w:r>
        <w:rPr>
          <w:sz w:val="24"/>
          <w:szCs w:val="28"/>
        </w:rPr>
        <w:fldChar w:fldCharType="end"/>
      </w:r>
      <w:bookmarkEnd w:id="11"/>
    </w:p>
    <w:p w:rsidR="00B513DC" w:rsidRDefault="0057285D">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B513DC" w:rsidRDefault="0057285D">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B5081D">
        <w:rPr>
          <w:b/>
          <w:sz w:val="21"/>
          <w:szCs w:val="28"/>
        </w:rPr>
      </w:r>
      <w:r w:rsidR="00B5081D">
        <w:rPr>
          <w:b/>
          <w:sz w:val="21"/>
          <w:szCs w:val="28"/>
        </w:rPr>
        <w:fldChar w:fldCharType="separate"/>
      </w:r>
      <w:r>
        <w:rPr>
          <w:b/>
          <w:sz w:val="21"/>
          <w:szCs w:val="28"/>
        </w:rPr>
        <w:fldChar w:fldCharType="end"/>
      </w:r>
      <w:bookmarkEnd w:id="13"/>
    </w:p>
    <w:p w:rsidR="00B513DC" w:rsidRDefault="0057285D">
      <w:pPr>
        <w:pStyle w:val="afffffffffd"/>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B513DC" w:rsidRDefault="0057285D">
      <w:pPr>
        <w:pStyle w:val="afffffffffe"/>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B513DC" w:rsidRDefault="0057285D">
      <w:pPr>
        <w:pStyle w:val="affffffff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大连市市场监督管理局</w:t>
      </w:r>
      <w:r>
        <w:rPr>
          <w:rFonts w:hAnsi="黑体"/>
          <w:w w:val="100"/>
          <w:sz w:val="28"/>
        </w:rPr>
        <w:fldChar w:fldCharType="end"/>
      </w:r>
      <w:bookmarkEnd w:id="20"/>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B513DC" w:rsidRDefault="00B5081D">
      <w:pPr>
        <w:rPr>
          <w:rFonts w:ascii="宋体" w:hAnsi="宋体"/>
          <w:sz w:val="28"/>
          <w:szCs w:val="28"/>
        </w:rPr>
        <w:sectPr w:rsidR="00B513DC">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mso-width-relative:page;mso-height-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B513DC" w:rsidRDefault="0057285D">
      <w:pPr>
        <w:pStyle w:val="a6"/>
        <w:spacing w:before="900" w:after="360"/>
      </w:pPr>
      <w:bookmarkStart w:id="21" w:name="BookMark2"/>
      <w:r>
        <w:rPr>
          <w:spacing w:val="320"/>
        </w:rPr>
        <w:lastRenderedPageBreak/>
        <w:t>前</w:t>
      </w:r>
      <w:r>
        <w:t>言</w:t>
      </w:r>
    </w:p>
    <w:p w:rsidR="00B513DC" w:rsidRDefault="0057285D">
      <w:pPr>
        <w:pStyle w:val="afffff2"/>
        <w:ind w:firstLine="420"/>
      </w:pPr>
      <w:r>
        <w:rPr>
          <w:rFonts w:hint="eastAsia"/>
        </w:rPr>
        <w:t>本文件按照GB/T 1.1—2020《标准化工作导则  第1部分：标准化文件的结构和起草规则》的规定起草。</w:t>
      </w:r>
    </w:p>
    <w:p w:rsidR="00B513DC" w:rsidRDefault="0057285D">
      <w:pPr>
        <w:pStyle w:val="afffff2"/>
        <w:ind w:firstLine="420"/>
      </w:pPr>
      <w:r>
        <w:rPr>
          <w:rFonts w:hint="eastAsia"/>
        </w:rPr>
        <w:t>本文件由大连市交通运输局提出并归口。</w:t>
      </w:r>
    </w:p>
    <w:p w:rsidR="00B513DC" w:rsidRDefault="0057285D">
      <w:pPr>
        <w:pStyle w:val="afffff2"/>
        <w:ind w:firstLine="420"/>
      </w:pPr>
      <w:r>
        <w:rPr>
          <w:rFonts w:hint="eastAsia"/>
        </w:rPr>
        <w:t>本文件起草单位：大连港口设计研究院有限公司、大连标准认证研究院有限公司、大连天籁安全风险管理技术有限公司、大连文化旅游发展集团有限公司、大连市交通和航运物流发展服务中心、辽宁省交通运输事务服务中心</w:t>
      </w:r>
      <w:r w:rsidR="00D56FDA">
        <w:rPr>
          <w:rFonts w:hint="eastAsia"/>
        </w:rPr>
        <w:t>、</w:t>
      </w:r>
      <w:r w:rsidR="00D56FDA" w:rsidRPr="00D56FDA">
        <w:rPr>
          <w:rFonts w:hint="eastAsia"/>
        </w:rPr>
        <w:t>辽宁港口集团有限公司</w:t>
      </w:r>
      <w:r>
        <w:rPr>
          <w:rFonts w:hint="eastAsia"/>
        </w:rPr>
        <w:t>。</w:t>
      </w:r>
    </w:p>
    <w:p w:rsidR="00B513DC" w:rsidRDefault="0057285D">
      <w:pPr>
        <w:pStyle w:val="afffff2"/>
        <w:ind w:firstLine="420"/>
      </w:pPr>
      <w:r>
        <w:rPr>
          <w:rFonts w:hint="eastAsia"/>
        </w:rPr>
        <w:t>本文件主要起草人：魏国欣、刘鹏、魏林、孔令学、夏璐一、吴绍忠、韩立祺、杨建功、王凯民、李策、徐慧、赵明辉、王嘉琪、张颢</w:t>
      </w:r>
      <w:r w:rsidR="00302D0C">
        <w:rPr>
          <w:rFonts w:hint="eastAsia"/>
        </w:rPr>
        <w:t>、</w:t>
      </w:r>
      <w:r w:rsidR="00302D0C" w:rsidRPr="00302D0C">
        <w:rPr>
          <w:rFonts w:hint="eastAsia"/>
        </w:rPr>
        <w:t>黄军侠、孙玉华、栾强、张梓澳</w:t>
      </w:r>
      <w:r>
        <w:rPr>
          <w:rFonts w:hint="eastAsia"/>
        </w:rPr>
        <w:t>。</w:t>
      </w:r>
    </w:p>
    <w:p w:rsidR="00B513DC" w:rsidRDefault="0057285D">
      <w:pPr>
        <w:pStyle w:val="afffff2"/>
        <w:ind w:firstLine="420"/>
        <w:rPr>
          <w:szCs w:val="21"/>
        </w:rPr>
      </w:pPr>
      <w:r>
        <w:rPr>
          <w:rFonts w:hint="eastAsia"/>
        </w:rPr>
        <w:t>本文件发布实施后，任何单位和个人如有问题和意见建议，均可通过来电、来函等方式进行反馈，有关单位将及时答复并认真处理，根据实际情况依法进行评估及复审。</w:t>
      </w:r>
    </w:p>
    <w:p w:rsidR="00B513DC" w:rsidRDefault="0057285D">
      <w:pPr>
        <w:pStyle w:val="afffff2"/>
        <w:ind w:firstLine="420"/>
      </w:pPr>
      <w:r>
        <w:rPr>
          <w:rFonts w:hint="eastAsia"/>
        </w:rPr>
        <w:t>归口管理部门通讯地址：</w:t>
      </w:r>
      <w:r w:rsidRPr="0057285D">
        <w:rPr>
          <w:rFonts w:hint="eastAsia"/>
        </w:rPr>
        <w:t>大连市沙河口区中山路401号</w:t>
      </w:r>
      <w:r>
        <w:rPr>
          <w:rFonts w:hint="eastAsia"/>
        </w:rPr>
        <w:t>，联系电话：</w:t>
      </w:r>
      <w:r w:rsidRPr="0057285D">
        <w:t>0411-84301306</w:t>
      </w:r>
      <w:r>
        <w:t xml:space="preserve"> </w:t>
      </w:r>
      <w:r>
        <w:rPr>
          <w:rFonts w:hint="eastAsia"/>
        </w:rPr>
        <w:t>。</w:t>
      </w:r>
    </w:p>
    <w:p w:rsidR="00B513DC" w:rsidRDefault="0057285D">
      <w:pPr>
        <w:pStyle w:val="afffff2"/>
        <w:ind w:firstLine="420"/>
        <w:jc w:val="left"/>
        <w:sectPr w:rsidR="00B513DC">
          <w:pgSz w:w="12240" w:h="15840"/>
          <w:pgMar w:top="1440" w:right="1800" w:bottom="1440" w:left="1800" w:header="720" w:footer="720" w:gutter="0"/>
          <w:cols w:space="720"/>
        </w:sectPr>
      </w:pPr>
      <w:r>
        <w:rPr>
          <w:rFonts w:hint="eastAsia"/>
        </w:rPr>
        <w:t>文件起草单位通讯地址：大连市中山区人民路街道港湾街1号，联系电话：0411-82625555。</w:t>
      </w:r>
    </w:p>
    <w:p w:rsidR="00B513DC" w:rsidRDefault="00B513DC">
      <w:pPr>
        <w:spacing w:line="20" w:lineRule="exact"/>
        <w:jc w:val="center"/>
        <w:rPr>
          <w:rFonts w:ascii="黑体" w:eastAsia="黑体" w:hAnsi="黑体"/>
          <w:sz w:val="32"/>
          <w:szCs w:val="32"/>
        </w:rPr>
      </w:pPr>
      <w:bookmarkStart w:id="22" w:name="BookMark4"/>
      <w:bookmarkEnd w:id="21"/>
    </w:p>
    <w:p w:rsidR="00B513DC" w:rsidRDefault="00B513DC">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2B46C09BBC1B48429E1A0C54E37DF9CA"/>
        </w:placeholder>
      </w:sdtPr>
      <w:sdtContent>
        <w:p w:rsidR="00B513DC" w:rsidRDefault="0057285D">
          <w:pPr>
            <w:pStyle w:val="afffffffff5"/>
            <w:spacing w:beforeLines="1" w:before="3" w:afterLines="220" w:after="686"/>
          </w:pPr>
          <w:r>
            <w:rPr>
              <w:rFonts w:hint="eastAsia"/>
            </w:rPr>
            <w:t>水上旅游运输码头建设与管理规范</w:t>
          </w:r>
        </w:p>
      </w:sdtContent>
    </w:sdt>
    <w:p w:rsidR="00B513DC" w:rsidRDefault="0057285D">
      <w:pPr>
        <w:pStyle w:val="affc"/>
        <w:spacing w:before="312" w:after="312"/>
      </w:pPr>
      <w:bookmarkStart w:id="24" w:name="_Toc17233325"/>
      <w:bookmarkStart w:id="25" w:name="_Toc17233333"/>
      <w:bookmarkStart w:id="26" w:name="_Toc26648465"/>
      <w:bookmarkStart w:id="27" w:name="_Toc26718930"/>
      <w:bookmarkStart w:id="28" w:name="_Toc24884211"/>
      <w:bookmarkStart w:id="29" w:name="_Toc26986530"/>
      <w:bookmarkStart w:id="30" w:name="_Toc26986771"/>
      <w:bookmarkStart w:id="31" w:name="_Toc24884218"/>
      <w:bookmarkStart w:id="32" w:name="_Toc97191423"/>
      <w:bookmarkEnd w:id="23"/>
      <w:r>
        <w:rPr>
          <w:rFonts w:hint="eastAsia"/>
        </w:rPr>
        <w:t>范围</w:t>
      </w:r>
      <w:bookmarkEnd w:id="24"/>
      <w:bookmarkEnd w:id="25"/>
      <w:bookmarkEnd w:id="26"/>
      <w:bookmarkEnd w:id="27"/>
      <w:bookmarkEnd w:id="28"/>
      <w:bookmarkEnd w:id="29"/>
      <w:bookmarkEnd w:id="30"/>
      <w:bookmarkEnd w:id="31"/>
      <w:bookmarkEnd w:id="32"/>
    </w:p>
    <w:p w:rsidR="00B513DC" w:rsidRDefault="0057285D">
      <w:pPr>
        <w:pStyle w:val="afffff2"/>
        <w:ind w:firstLine="420"/>
      </w:pPr>
      <w:bookmarkStart w:id="33" w:name="_Toc17233326"/>
      <w:bookmarkStart w:id="34" w:name="_Toc24884219"/>
      <w:bookmarkStart w:id="35" w:name="_Toc26648466"/>
      <w:bookmarkStart w:id="36" w:name="_Toc17233334"/>
      <w:bookmarkStart w:id="37" w:name="_Toc24884212"/>
      <w:r>
        <w:t>本文件规定了</w:t>
      </w:r>
      <w:r>
        <w:rPr>
          <w:rFonts w:hint="eastAsia"/>
        </w:rPr>
        <w:t>水上旅游运输</w:t>
      </w:r>
      <w:r>
        <w:t>码头的建设要求、管理要求、监督、评价与改进。</w:t>
      </w:r>
    </w:p>
    <w:p w:rsidR="00B513DC" w:rsidRDefault="0057285D">
      <w:pPr>
        <w:pStyle w:val="afffff2"/>
        <w:ind w:firstLine="420"/>
      </w:pPr>
      <w:r>
        <w:t>本文件适用</w:t>
      </w:r>
      <w:r>
        <w:rPr>
          <w:rFonts w:hint="eastAsia"/>
        </w:rPr>
        <w:t>于大连市水上旅游运输码头</w:t>
      </w:r>
      <w:r>
        <w:t>的建设与管理。</w:t>
      </w:r>
    </w:p>
    <w:p w:rsidR="00B513DC" w:rsidRDefault="0057285D">
      <w:pPr>
        <w:pStyle w:val="afffff2"/>
        <w:ind w:firstLine="420"/>
      </w:pPr>
      <w:r>
        <w:t>本文件</w:t>
      </w:r>
      <w:r>
        <w:rPr>
          <w:rFonts w:hint="eastAsia"/>
        </w:rPr>
        <w:t>不适用于游艇码头的建设与管理。</w:t>
      </w:r>
    </w:p>
    <w:p w:rsidR="00B513DC" w:rsidRDefault="0057285D">
      <w:pPr>
        <w:pStyle w:val="affc"/>
        <w:spacing w:before="312" w:after="312"/>
      </w:pPr>
      <w:bookmarkStart w:id="38" w:name="_Toc26718931"/>
      <w:bookmarkStart w:id="39" w:name="_Toc97191424"/>
      <w:bookmarkStart w:id="40" w:name="_Toc26986772"/>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4BD8461B0BB043AB856043EB8450CB7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B513DC" w:rsidRDefault="0057285D">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513DC" w:rsidRDefault="0057285D">
      <w:pPr>
        <w:pStyle w:val="afffff2"/>
        <w:ind w:firstLine="420"/>
      </w:pPr>
      <w:r>
        <w:rPr>
          <w:rFonts w:hint="eastAsia"/>
        </w:rPr>
        <w:t xml:space="preserve">GB 2894 </w:t>
      </w:r>
      <w:r>
        <w:t xml:space="preserve"> </w:t>
      </w:r>
      <w:r>
        <w:rPr>
          <w:rFonts w:hint="eastAsia"/>
        </w:rPr>
        <w:t>安全标志及其使用导则</w:t>
      </w:r>
    </w:p>
    <w:p w:rsidR="00B513DC" w:rsidRDefault="0057285D">
      <w:pPr>
        <w:pStyle w:val="afffff2"/>
        <w:ind w:firstLine="420"/>
      </w:pPr>
      <w:r>
        <w:t>G</w:t>
      </w:r>
      <w:r>
        <w:rPr>
          <w:rFonts w:hint="eastAsia"/>
        </w:rPr>
        <w:t xml:space="preserve">B/T 32232 </w:t>
      </w:r>
      <w:r>
        <w:t xml:space="preserve"> 儿童救生衣</w:t>
      </w:r>
    </w:p>
    <w:p w:rsidR="00B513DC" w:rsidRDefault="0057285D">
      <w:pPr>
        <w:pStyle w:val="afffff2"/>
        <w:ind w:firstLine="420"/>
      </w:pPr>
      <w:r>
        <w:t>GB/T 10001.1</w:t>
      </w:r>
      <w:r>
        <w:rPr>
          <w:rFonts w:hint="eastAsia"/>
        </w:rPr>
        <w:t xml:space="preserve"> </w:t>
      </w:r>
      <w:r>
        <w:t xml:space="preserve"> </w:t>
      </w:r>
      <w:r>
        <w:t> </w:t>
      </w:r>
      <w:r>
        <w:t>公共信息图形符号 第1部分：通用符号</w:t>
      </w:r>
    </w:p>
    <w:p w:rsidR="00B513DC" w:rsidRDefault="0057285D">
      <w:pPr>
        <w:pStyle w:val="afffff2"/>
        <w:ind w:firstLine="420"/>
      </w:pPr>
      <w:r>
        <w:t>GB/T 10001.3</w:t>
      </w:r>
      <w:r>
        <w:rPr>
          <w:rFonts w:hint="eastAsia"/>
        </w:rPr>
        <w:t xml:space="preserve"> </w:t>
      </w:r>
      <w:r>
        <w:t xml:space="preserve"> 公共信息图形符号 第3部分：客运货运符号</w:t>
      </w:r>
    </w:p>
    <w:p w:rsidR="00B513DC" w:rsidRDefault="0057285D">
      <w:pPr>
        <w:pStyle w:val="afffff2"/>
        <w:ind w:firstLine="420"/>
      </w:pPr>
      <w:r>
        <w:t>GB/T 10001.9</w:t>
      </w:r>
      <w:r>
        <w:rPr>
          <w:rFonts w:hint="eastAsia"/>
        </w:rPr>
        <w:t xml:space="preserve"> </w:t>
      </w:r>
      <w:r>
        <w:t xml:space="preserve"> 公共信息图形符号 第9部分：无障碍设施符号</w:t>
      </w:r>
    </w:p>
    <w:p w:rsidR="00B513DC" w:rsidRDefault="0057285D">
      <w:pPr>
        <w:pStyle w:val="afffff2"/>
        <w:ind w:firstLine="420"/>
      </w:pPr>
      <w:r>
        <w:rPr>
          <w:rFonts w:hint="eastAsia"/>
        </w:rPr>
        <w:t xml:space="preserve">GB 13495.1 </w:t>
      </w:r>
      <w:r>
        <w:t xml:space="preserve"> </w:t>
      </w:r>
      <w:r>
        <w:rPr>
          <w:rFonts w:hint="eastAsia"/>
        </w:rPr>
        <w:t>消防安全标志 第1部分:标志</w:t>
      </w:r>
    </w:p>
    <w:p w:rsidR="00B513DC" w:rsidRDefault="0057285D">
      <w:pPr>
        <w:pStyle w:val="afffff2"/>
        <w:ind w:firstLine="420"/>
      </w:pPr>
      <w:r>
        <w:t>GB/T 15566.1</w:t>
      </w:r>
      <w:r>
        <w:rPr>
          <w:rFonts w:hint="eastAsia"/>
        </w:rPr>
        <w:t xml:space="preserve"> </w:t>
      </w:r>
      <w:r>
        <w:t xml:space="preserve"> 公共信息导向系统 设置原则与要求 第1部分：总则</w:t>
      </w:r>
    </w:p>
    <w:p w:rsidR="00B513DC" w:rsidRDefault="0057285D">
      <w:pPr>
        <w:pStyle w:val="afffff2"/>
        <w:ind w:firstLine="420"/>
      </w:pPr>
      <w:r>
        <w:t>GB 15630</w:t>
      </w:r>
      <w:r>
        <w:rPr>
          <w:rFonts w:hint="eastAsia"/>
        </w:rPr>
        <w:t xml:space="preserve"> </w:t>
      </w:r>
      <w:r>
        <w:t xml:space="preserve"> 消防安全标志设置要求</w:t>
      </w:r>
    </w:p>
    <w:p w:rsidR="00B513DC" w:rsidRDefault="0057285D">
      <w:pPr>
        <w:pStyle w:val="afffff2"/>
        <w:ind w:firstLine="420"/>
      </w:pPr>
      <w:r>
        <w:t>GB/T 20501.1  公共信息导向系统 导向要素的设计原则与要求 第1部分：总则</w:t>
      </w:r>
    </w:p>
    <w:p w:rsidR="00B513DC" w:rsidRDefault="0057285D">
      <w:pPr>
        <w:pStyle w:val="afffff2"/>
        <w:ind w:firstLine="420"/>
      </w:pPr>
      <w:r>
        <w:t>GB/T 20501.6 公共信息导向系统 导向要素的设计原则与要求 第6部分：导向标志</w:t>
      </w:r>
    </w:p>
    <w:p w:rsidR="00B513DC" w:rsidRDefault="0057285D">
      <w:pPr>
        <w:pStyle w:val="afffff2"/>
        <w:ind w:firstLine="420"/>
      </w:pPr>
      <w:r>
        <w:rPr>
          <w:rFonts w:hint="eastAsia"/>
        </w:rPr>
        <w:t>GB</w:t>
      </w:r>
      <w:r>
        <w:t xml:space="preserve"> </w:t>
      </w:r>
      <w:r>
        <w:rPr>
          <w:rFonts w:hint="eastAsia"/>
        </w:rPr>
        <w:t xml:space="preserve">29639 </w:t>
      </w:r>
      <w:r>
        <w:t xml:space="preserve"> 生产经营单位生产安全事故应急预案编制导则</w:t>
      </w:r>
      <w:r>
        <w:rPr>
          <w:rFonts w:hint="eastAsia"/>
        </w:rPr>
        <w:t xml:space="preserve"> </w:t>
      </w:r>
    </w:p>
    <w:p w:rsidR="00B513DC" w:rsidRDefault="0057285D">
      <w:pPr>
        <w:pStyle w:val="afffff2"/>
        <w:ind w:firstLine="420"/>
      </w:pPr>
      <w:r>
        <w:rPr>
          <w:rFonts w:hint="eastAsia"/>
        </w:rPr>
        <w:t>J</w:t>
      </w:r>
      <w:r>
        <w:t>TS 163</w:t>
      </w:r>
      <w:r>
        <w:rPr>
          <w:rFonts w:hint="eastAsia"/>
        </w:rPr>
        <w:t xml:space="preserve"> </w:t>
      </w:r>
      <w:r>
        <w:t xml:space="preserve"> </w:t>
      </w:r>
      <w:r>
        <w:rPr>
          <w:rFonts w:hint="eastAsia"/>
        </w:rPr>
        <w:t xml:space="preserve">海港总体设计规范 </w:t>
      </w:r>
    </w:p>
    <w:p w:rsidR="00B513DC" w:rsidRDefault="0057285D">
      <w:pPr>
        <w:pStyle w:val="afffff2"/>
        <w:ind w:firstLine="420"/>
      </w:pPr>
      <w:r>
        <w:t xml:space="preserve">JTS 165-7-2014  </w:t>
      </w:r>
      <w:r>
        <w:rPr>
          <w:rFonts w:hint="eastAsia"/>
        </w:rPr>
        <w:t>游艇码头设计规范</w:t>
      </w:r>
    </w:p>
    <w:p w:rsidR="00B513DC" w:rsidRDefault="0057285D">
      <w:pPr>
        <w:pStyle w:val="afffff2"/>
        <w:ind w:firstLine="420"/>
      </w:pPr>
      <w:r>
        <w:rPr>
          <w:rFonts w:hint="eastAsia"/>
        </w:rPr>
        <w:t>JTS 167</w:t>
      </w:r>
      <w:r>
        <w:t xml:space="preserve"> </w:t>
      </w:r>
      <w:r>
        <w:rPr>
          <w:rFonts w:hint="eastAsia"/>
        </w:rPr>
        <w:t>码头结构设计规范</w:t>
      </w:r>
    </w:p>
    <w:p w:rsidR="00B513DC" w:rsidRDefault="0057285D">
      <w:pPr>
        <w:pStyle w:val="afffff2"/>
        <w:ind w:firstLine="420"/>
      </w:pPr>
      <w:r>
        <w:rPr>
          <w:rFonts w:hint="eastAsia"/>
        </w:rPr>
        <w:t>JTS</w:t>
      </w:r>
      <w:r>
        <w:t xml:space="preserve"> </w:t>
      </w:r>
      <w:r>
        <w:rPr>
          <w:rFonts w:hint="eastAsia"/>
        </w:rPr>
        <w:t>310</w:t>
      </w:r>
      <w:r>
        <w:t xml:space="preserve"> </w:t>
      </w:r>
      <w:r>
        <w:rPr>
          <w:rFonts w:hint="eastAsia"/>
        </w:rPr>
        <w:t>港口设施维护技术规范</w:t>
      </w:r>
    </w:p>
    <w:p w:rsidR="00B513DC" w:rsidRDefault="0057285D">
      <w:pPr>
        <w:pStyle w:val="affc"/>
        <w:spacing w:before="312" w:after="312"/>
      </w:pPr>
      <w:bookmarkStart w:id="42" w:name="_Toc97191425"/>
      <w:r>
        <w:rPr>
          <w:rFonts w:hint="eastAsia"/>
          <w:szCs w:val="21"/>
        </w:rPr>
        <w:t>术语和定义</w:t>
      </w:r>
      <w:bookmarkEnd w:id="42"/>
    </w:p>
    <w:bookmarkStart w:id="43" w:name="_Toc26986532"/>
    <w:bookmarkEnd w:id="43"/>
    <w:p w:rsidR="00B513DC" w:rsidRDefault="00B5081D">
      <w:pPr>
        <w:pStyle w:val="afffff2"/>
        <w:ind w:firstLine="420"/>
      </w:pPr>
      <w:sdt>
        <w:sdtPr>
          <w:id w:val="-1909835108"/>
          <w:placeholder>
            <w:docPart w:val="902CD6BE31D14E479D928DE85B5452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sidR="0057285D">
            <w:t>下列术语和定义适用于本文件。</w:t>
          </w:r>
        </w:sdtContent>
      </w:sdt>
    </w:p>
    <w:p w:rsidR="00B513DC" w:rsidRDefault="0057285D">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水上旅游运输 water</w:t>
      </w:r>
      <w:r>
        <w:rPr>
          <w:rFonts w:ascii="黑体" w:eastAsia="黑体" w:hAnsi="黑体"/>
        </w:rPr>
        <w:t xml:space="preserve"> tourism transportation</w:t>
      </w:r>
    </w:p>
    <w:p w:rsidR="00B513DC" w:rsidRDefault="0057285D">
      <w:pPr>
        <w:pStyle w:val="afffff2"/>
        <w:ind w:firstLine="420"/>
        <w:rPr>
          <w:kern w:val="2"/>
          <w:szCs w:val="21"/>
        </w:rPr>
      </w:pPr>
      <w:r>
        <w:rPr>
          <w:rFonts w:hint="eastAsia"/>
        </w:rPr>
        <w:t>以水上旅游运输船舶（不含与外界水域不相通的公园中的划船、游艇）为载体，以旅客为对象，在我市沿海从事运载旅客、提供旅游服务的营业性运输。</w:t>
      </w:r>
    </w:p>
    <w:p w:rsidR="00B513DC" w:rsidRDefault="0057285D">
      <w:pPr>
        <w:pStyle w:val="afffffffffff1"/>
        <w:ind w:left="420" w:hangingChars="200" w:hanging="420"/>
        <w:rPr>
          <w:rFonts w:ascii="黑体" w:eastAsia="黑体" w:hAnsi="黑体"/>
          <w:kern w:val="2"/>
          <w:szCs w:val="21"/>
        </w:rPr>
      </w:pPr>
      <w:r>
        <w:rPr>
          <w:rFonts w:ascii="黑体" w:eastAsia="黑体" w:hAnsi="黑体"/>
        </w:rPr>
        <w:br/>
      </w:r>
      <w:r>
        <w:rPr>
          <w:rFonts w:ascii="黑体" w:eastAsia="黑体" w:hAnsi="黑体" w:hint="eastAsia"/>
        </w:rPr>
        <w:t>水上旅游运输码头 water</w:t>
      </w:r>
      <w:r>
        <w:rPr>
          <w:rFonts w:ascii="黑体" w:eastAsia="黑体" w:hAnsi="黑体"/>
        </w:rPr>
        <w:t xml:space="preserve"> tourism transportation marina</w:t>
      </w:r>
    </w:p>
    <w:p w:rsidR="00B513DC" w:rsidRDefault="0057285D">
      <w:pPr>
        <w:pStyle w:val="afffff2"/>
        <w:ind w:firstLine="420"/>
        <w:rPr>
          <w:kern w:val="2"/>
          <w:szCs w:val="21"/>
        </w:rPr>
      </w:pPr>
      <w:r>
        <w:rPr>
          <w:rFonts w:hint="eastAsia"/>
        </w:rPr>
        <w:t>水上旅游运输船舶提供靠泊、上下客服务的码头。</w:t>
      </w:r>
      <w:r>
        <w:rPr>
          <w:rFonts w:hAnsi="宋体" w:hint="eastAsia"/>
        </w:rPr>
        <w:t>根据使用情况，分为永久性码头和临时性码头，</w:t>
      </w:r>
      <w:r>
        <w:rPr>
          <w:rFonts w:hint="eastAsia"/>
        </w:rPr>
        <w:t>根据码头掩护条件，分为良好掩护码头、半开敞式码头和开敞式码头。</w:t>
      </w:r>
    </w:p>
    <w:p w:rsidR="00B513DC" w:rsidRDefault="0057285D">
      <w:pPr>
        <w:pStyle w:val="afffffffffff1"/>
        <w:ind w:left="420" w:hangingChars="200" w:hanging="420"/>
        <w:rPr>
          <w:rFonts w:ascii="黑体" w:eastAsia="黑体" w:hAnsi="黑体"/>
          <w:kern w:val="2"/>
          <w:szCs w:val="21"/>
        </w:rPr>
      </w:pPr>
      <w:r>
        <w:rPr>
          <w:rFonts w:ascii="黑体" w:eastAsia="黑体" w:hAnsi="黑体"/>
        </w:rPr>
        <w:lastRenderedPageBreak/>
        <w:br/>
      </w:r>
      <w:r>
        <w:rPr>
          <w:rFonts w:ascii="黑体" w:eastAsia="黑体" w:hAnsi="黑体" w:hint="eastAsia"/>
        </w:rPr>
        <w:t>水上旅游运输船舶 water</w:t>
      </w:r>
      <w:r>
        <w:rPr>
          <w:rFonts w:ascii="黑体" w:eastAsia="黑体" w:hAnsi="黑体"/>
        </w:rPr>
        <w:t xml:space="preserve"> tourism transportation vessel</w:t>
      </w:r>
    </w:p>
    <w:p w:rsidR="00B513DC" w:rsidRDefault="0057285D">
      <w:pPr>
        <w:pStyle w:val="afffff2"/>
        <w:ind w:firstLine="420"/>
      </w:pPr>
      <w:r>
        <w:rPr>
          <w:rFonts w:hint="eastAsia"/>
        </w:rPr>
        <w:t>从事水上旅游运输，为旅客提供游览观光、休闲娱乐等活动且具有机械推进动力装置的营业性船舶。</w:t>
      </w:r>
    </w:p>
    <w:p w:rsidR="00B513DC" w:rsidRDefault="0057285D">
      <w:pPr>
        <w:pStyle w:val="afffffffffff1"/>
        <w:ind w:left="420" w:hangingChars="200" w:hanging="420"/>
        <w:rPr>
          <w:rFonts w:ascii="黑体" w:eastAsia="黑体" w:hAnsi="黑体"/>
          <w:szCs w:val="21"/>
        </w:rPr>
      </w:pPr>
      <w:r>
        <w:rPr>
          <w:rFonts w:ascii="黑体" w:eastAsia="黑体" w:hAnsi="黑体"/>
        </w:rPr>
        <w:br/>
      </w:r>
      <w:r>
        <w:rPr>
          <w:rFonts w:ascii="黑体" w:eastAsia="黑体" w:hAnsi="黑体" w:hint="eastAsia"/>
        </w:rPr>
        <w:t>永久性码头 permanent wharf</w:t>
      </w:r>
    </w:p>
    <w:p w:rsidR="00B513DC" w:rsidRDefault="0057285D">
      <w:pPr>
        <w:pStyle w:val="afffff2"/>
        <w:ind w:firstLine="420"/>
      </w:pPr>
      <w:r>
        <w:rPr>
          <w:rFonts w:hint="eastAsia"/>
        </w:rPr>
        <w:t>采用固定式码头或不可随时撤离的浮动设施，供水上旅游运输船舶长期靠泊，配套设施齐全的码头结构。</w:t>
      </w:r>
    </w:p>
    <w:p w:rsidR="00B513DC" w:rsidRDefault="0057285D">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临时性码头 temporary wharf</w:t>
      </w:r>
    </w:p>
    <w:p w:rsidR="00B513DC" w:rsidRDefault="0057285D">
      <w:pPr>
        <w:pStyle w:val="afffff2"/>
        <w:ind w:firstLine="420"/>
      </w:pPr>
      <w:r>
        <w:rPr>
          <w:rFonts w:hint="eastAsia"/>
        </w:rPr>
        <w:t>采用可随时撤离的浮动设施，供水上旅游运输船舶季节性临时靠泊的码头结构。</w:t>
      </w:r>
    </w:p>
    <w:p w:rsidR="00B513DC" w:rsidRDefault="0057285D">
      <w:pPr>
        <w:pStyle w:val="afffffffffff1"/>
        <w:ind w:left="420" w:hangingChars="200" w:hanging="420"/>
        <w:rPr>
          <w:rFonts w:ascii="黑体" w:eastAsia="黑体" w:hAnsi="黑体"/>
          <w:kern w:val="2"/>
        </w:rPr>
      </w:pPr>
      <w:r>
        <w:rPr>
          <w:rFonts w:ascii="黑体" w:eastAsia="黑体" w:hAnsi="黑体"/>
        </w:rPr>
        <w:br/>
      </w:r>
      <w:r>
        <w:rPr>
          <w:rFonts w:ascii="黑体" w:eastAsia="黑体" w:hAnsi="黑体" w:hint="eastAsia"/>
        </w:rPr>
        <w:t>良好掩护码头 well</w:t>
      </w:r>
      <w:r>
        <w:rPr>
          <w:rFonts w:ascii="黑体" w:eastAsia="黑体" w:hAnsi="黑体"/>
        </w:rPr>
        <w:t xml:space="preserve"> sheltered terminal</w:t>
      </w:r>
    </w:p>
    <w:p w:rsidR="00B513DC" w:rsidRDefault="0057285D">
      <w:pPr>
        <w:pStyle w:val="afffff2"/>
        <w:ind w:firstLine="420"/>
      </w:pPr>
      <w:r>
        <w:rPr>
          <w:rFonts w:hint="eastAsia"/>
        </w:rPr>
        <w:t>有天然或人工掩护条件，港内作业条件平稳，码头前沿两年一遇最大波高（H</w:t>
      </w:r>
      <w:r>
        <w:rPr>
          <w:rFonts w:hint="eastAsia"/>
          <w:vertAlign w:val="subscript"/>
        </w:rPr>
        <w:t>4%</w:t>
      </w:r>
      <w:r>
        <w:rPr>
          <w:rFonts w:hint="eastAsia"/>
        </w:rPr>
        <w:t>）在0.5</w:t>
      </w:r>
      <w:r w:rsidR="009B1A3D">
        <w:rPr>
          <w:rFonts w:ascii="MS Gothic" w:eastAsia="MS Gothic" w:hAnsi="MS Gothic" w:cs="MS Gothic"/>
        </w:rPr>
        <w:t> </w:t>
      </w:r>
      <w:r>
        <w:rPr>
          <w:rFonts w:hint="eastAsia"/>
        </w:rPr>
        <w:t>m以内，且设计重现期波浪不会对码头结构构成安全影响的码头。</w:t>
      </w:r>
    </w:p>
    <w:p w:rsidR="00B513DC" w:rsidRDefault="0057285D">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开敞式码头 open</w:t>
      </w:r>
      <w:r>
        <w:rPr>
          <w:rFonts w:ascii="黑体" w:eastAsia="黑体" w:hAnsi="黑体"/>
        </w:rPr>
        <w:t xml:space="preserve"> sea terminal</w:t>
      </w:r>
    </w:p>
    <w:p w:rsidR="00B513DC" w:rsidRDefault="0057285D">
      <w:pPr>
        <w:pStyle w:val="afffff2"/>
        <w:ind w:firstLine="420"/>
      </w:pPr>
      <w:r>
        <w:rPr>
          <w:rFonts w:hint="eastAsia"/>
        </w:rPr>
        <w:t>位于开敞海域、无天然或人工掩护条件、外海波浪可直接影响码头结构安全的码头。</w:t>
      </w:r>
    </w:p>
    <w:p w:rsidR="00B513DC" w:rsidRDefault="0057285D">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半开敞式码头 partly</w:t>
      </w:r>
      <w:r>
        <w:rPr>
          <w:rFonts w:ascii="黑体" w:eastAsia="黑体" w:hAnsi="黑体"/>
        </w:rPr>
        <w:t xml:space="preserve"> </w:t>
      </w:r>
      <w:r>
        <w:rPr>
          <w:rFonts w:ascii="黑体" w:eastAsia="黑体" w:hAnsi="黑体" w:hint="eastAsia"/>
        </w:rPr>
        <w:t>open</w:t>
      </w:r>
      <w:r>
        <w:rPr>
          <w:rFonts w:ascii="黑体" w:eastAsia="黑体" w:hAnsi="黑体"/>
        </w:rPr>
        <w:t xml:space="preserve"> sea terminal</w:t>
      </w:r>
    </w:p>
    <w:p w:rsidR="00B513DC" w:rsidRDefault="0057285D">
      <w:pPr>
        <w:pStyle w:val="afffff2"/>
        <w:ind w:firstLine="420"/>
      </w:pPr>
      <w:r>
        <w:rPr>
          <w:rFonts w:hint="eastAsia"/>
        </w:rPr>
        <w:t>码头前沿波</w:t>
      </w:r>
      <w:proofErr w:type="gramStart"/>
      <w:r>
        <w:rPr>
          <w:rFonts w:hint="eastAsia"/>
        </w:rPr>
        <w:t>况</w:t>
      </w:r>
      <w:proofErr w:type="gramEnd"/>
      <w:r>
        <w:rPr>
          <w:rFonts w:hint="eastAsia"/>
        </w:rPr>
        <w:t>条件介于良好掩护与开敞式码头之间的码头。</w:t>
      </w:r>
    </w:p>
    <w:p w:rsidR="00B513DC" w:rsidRDefault="0057285D">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浮动设施 floating</w:t>
      </w:r>
      <w:r>
        <w:rPr>
          <w:rFonts w:ascii="黑体" w:eastAsia="黑体" w:hAnsi="黑体"/>
        </w:rPr>
        <w:t xml:space="preserve"> structure</w:t>
      </w:r>
    </w:p>
    <w:p w:rsidR="00B513DC" w:rsidRDefault="0057285D">
      <w:pPr>
        <w:pStyle w:val="afffff2"/>
        <w:ind w:firstLine="420"/>
        <w:rPr>
          <w:rFonts w:hAnsi="宋体"/>
          <w:sz w:val="24"/>
          <w:szCs w:val="24"/>
        </w:rPr>
      </w:pPr>
      <w:r>
        <w:rPr>
          <w:rFonts w:hint="eastAsia"/>
        </w:rPr>
        <w:t>供水上旅游运输船舶靠泊、人员上下船使用，随水位变化可浮动的浮体结构，包括趸船、浮桥和浮箱等</w:t>
      </w:r>
      <w:r>
        <w:rPr>
          <w:rFonts w:hAnsi="宋体" w:hint="eastAsia"/>
          <w:sz w:val="24"/>
          <w:szCs w:val="24"/>
        </w:rPr>
        <w:t>。</w:t>
      </w:r>
    </w:p>
    <w:p w:rsidR="00B513DC" w:rsidRDefault="0057285D">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趸船 floating</w:t>
      </w:r>
      <w:r>
        <w:rPr>
          <w:rFonts w:ascii="黑体" w:eastAsia="黑体" w:hAnsi="黑体"/>
        </w:rPr>
        <w:t xml:space="preserve"> </w:t>
      </w:r>
      <w:r>
        <w:rPr>
          <w:rFonts w:ascii="黑体" w:eastAsia="黑体" w:hAnsi="黑体" w:hint="eastAsia"/>
        </w:rPr>
        <w:t>pontoon</w:t>
      </w:r>
    </w:p>
    <w:p w:rsidR="00B513DC" w:rsidRDefault="0057285D">
      <w:pPr>
        <w:pStyle w:val="afffff2"/>
        <w:ind w:firstLine="420"/>
      </w:pPr>
      <w:r>
        <w:rPr>
          <w:rFonts w:hint="eastAsia"/>
        </w:rPr>
        <w:t>为钢质或钢筋混凝土结构无动力装置的矩形平底非自航船，通过锚链、撑杆系统和定位墩等设施固定。</w:t>
      </w:r>
    </w:p>
    <w:p w:rsidR="00B513DC" w:rsidRDefault="0057285D">
      <w:pPr>
        <w:pStyle w:val="afffffffffff1"/>
        <w:ind w:left="420" w:hangingChars="200" w:hanging="420"/>
        <w:rPr>
          <w:rFonts w:ascii="黑体" w:eastAsia="黑体" w:hAnsi="黑体"/>
        </w:rPr>
      </w:pPr>
      <w:r>
        <w:rPr>
          <w:rFonts w:ascii="黑体" w:eastAsia="黑体" w:hAnsi="黑体"/>
        </w:rPr>
        <w:br/>
        <w:t>浮桥</w:t>
      </w:r>
      <w:r>
        <w:rPr>
          <w:rFonts w:ascii="黑体" w:eastAsia="黑体" w:hAnsi="黑体" w:hint="eastAsia"/>
        </w:rPr>
        <w:t xml:space="preserve"> pontoon</w:t>
      </w:r>
    </w:p>
    <w:p w:rsidR="00B513DC" w:rsidRDefault="0057285D">
      <w:pPr>
        <w:pStyle w:val="afffff2"/>
        <w:ind w:firstLine="420"/>
      </w:pPr>
      <w:r>
        <w:rPr>
          <w:rFonts w:hint="eastAsia"/>
        </w:rPr>
        <w:t>浮桥</w:t>
      </w:r>
      <w:r>
        <w:t>由浮箱、浮桥框架、铺面等组成，可分为主浮桥和支浮桥</w:t>
      </w:r>
      <w:r>
        <w:rPr>
          <w:rFonts w:hint="eastAsia"/>
        </w:rPr>
        <w:t>，支浮桥通过主浮桥固定和贯通</w:t>
      </w:r>
      <w:r>
        <w:t>。</w:t>
      </w:r>
    </w:p>
    <w:p w:rsidR="00B513DC" w:rsidRDefault="0057285D">
      <w:pPr>
        <w:pStyle w:val="afffffffffff1"/>
        <w:ind w:left="420" w:hangingChars="200" w:hanging="420"/>
        <w:rPr>
          <w:rFonts w:ascii="黑体" w:eastAsia="黑体" w:hAnsi="黑体"/>
        </w:rPr>
      </w:pPr>
      <w:r>
        <w:rPr>
          <w:rFonts w:ascii="黑体" w:eastAsia="黑体" w:hAnsi="黑体"/>
        </w:rPr>
        <w:br/>
        <w:t>浮</w:t>
      </w:r>
      <w:r>
        <w:rPr>
          <w:rFonts w:ascii="黑体" w:eastAsia="黑体" w:hAnsi="黑体" w:hint="eastAsia"/>
        </w:rPr>
        <w:t>箱 buoyancy</w:t>
      </w:r>
      <w:r>
        <w:rPr>
          <w:rFonts w:ascii="黑体" w:eastAsia="黑体" w:hAnsi="黑体"/>
        </w:rPr>
        <w:t xml:space="preserve"> tank</w:t>
      </w:r>
    </w:p>
    <w:p w:rsidR="00B513DC" w:rsidRDefault="0057285D">
      <w:pPr>
        <w:pStyle w:val="afffff2"/>
        <w:ind w:firstLine="420"/>
      </w:pPr>
      <w:r>
        <w:rPr>
          <w:rFonts w:hint="eastAsia"/>
        </w:rPr>
        <w:t>浮箱可采用塑料浮箱、钢筋混凝土浮箱或钢浮箱等。</w:t>
      </w:r>
    </w:p>
    <w:p w:rsidR="00B513DC" w:rsidRDefault="0057285D">
      <w:pPr>
        <w:pStyle w:val="affc"/>
        <w:spacing w:before="312" w:after="312"/>
      </w:pPr>
      <w:r>
        <w:rPr>
          <w:rFonts w:hint="eastAsia"/>
        </w:rPr>
        <w:t>总则</w:t>
      </w:r>
    </w:p>
    <w:p w:rsidR="00B513DC" w:rsidRDefault="0057285D">
      <w:pPr>
        <w:pStyle w:val="affffffffb"/>
        <w:rPr>
          <w:kern w:val="2"/>
        </w:rPr>
      </w:pPr>
      <w:r>
        <w:rPr>
          <w:rFonts w:hint="eastAsia"/>
        </w:rPr>
        <w:t>水上旅游运输码头的建设和管理应贯彻安全生产、节约用地和节约能源的方针，合理利用资源，保护环境，防治污染。</w:t>
      </w:r>
    </w:p>
    <w:p w:rsidR="00B513DC" w:rsidRDefault="0057285D">
      <w:pPr>
        <w:pStyle w:val="affffffffb"/>
        <w:rPr>
          <w:rFonts w:hAnsi="宋体"/>
        </w:rPr>
      </w:pPr>
      <w:r>
        <w:rPr>
          <w:rFonts w:hAnsi="宋体" w:hint="eastAsia"/>
        </w:rPr>
        <w:t>水上旅游运输码头应设置防滑、消防和救生设备等防护安全设施，并应设置安全标志，码头入口处应设置旅客上下码头安全须知标志。</w:t>
      </w:r>
    </w:p>
    <w:p w:rsidR="00B513DC" w:rsidRDefault="0057285D">
      <w:pPr>
        <w:pStyle w:val="affffffffb"/>
        <w:rPr>
          <w:rFonts w:ascii="Times New Roman"/>
        </w:rPr>
      </w:pPr>
      <w:r>
        <w:rPr>
          <w:rFonts w:hint="eastAsia"/>
        </w:rPr>
        <w:t>应对水上旅游运输码头的设置区域、用途以及可能影响通航的条件进行评估，评估合格方可使用。</w:t>
      </w:r>
    </w:p>
    <w:p w:rsidR="00B513DC" w:rsidRDefault="0057285D">
      <w:pPr>
        <w:pStyle w:val="affffffffb"/>
      </w:pPr>
      <w:r>
        <w:rPr>
          <w:rFonts w:hint="eastAsia"/>
        </w:rPr>
        <w:lastRenderedPageBreak/>
        <w:t>应保持码头水工结构及附属设施的完整和安全性，未经许可不得擅自变更其使用功能，不应损坏或停用安全设施。</w:t>
      </w:r>
    </w:p>
    <w:p w:rsidR="00B513DC" w:rsidRDefault="0057285D">
      <w:pPr>
        <w:pStyle w:val="affffffffb"/>
        <w:rPr>
          <w:szCs w:val="21"/>
        </w:rPr>
      </w:pPr>
      <w:r>
        <w:rPr>
          <w:rFonts w:hint="eastAsia"/>
        </w:rPr>
        <w:t>对于永久性码头，建设单位首先应开展项目备案，项目备案后办理用海手续，同时开展环境影响、安全设施“三同时”等专项评价，取得用海预审意见后开展设计文件编制，设计文件由建设单位自行组织审查，工程建设完工后由建设单位组织专家自行验收。</w:t>
      </w:r>
    </w:p>
    <w:p w:rsidR="00B513DC" w:rsidRDefault="0057285D">
      <w:pPr>
        <w:pStyle w:val="affffffffb"/>
      </w:pPr>
      <w:r>
        <w:rPr>
          <w:rFonts w:hint="eastAsia"/>
        </w:rPr>
        <w:t>对于临时性码头，建设单位首先应开展项目备案，项目备案后应办理用海手续，开展设计文件编制，设计文件由建设单位自行组织专家评审，经评审后可开工建设，工程建设完工后由建设单位组织专家自行验收。</w:t>
      </w:r>
    </w:p>
    <w:p w:rsidR="00B513DC" w:rsidRDefault="0057285D">
      <w:pPr>
        <w:pStyle w:val="affc"/>
        <w:spacing w:before="312" w:after="312"/>
      </w:pPr>
      <w:r>
        <w:t>建设要求</w:t>
      </w:r>
    </w:p>
    <w:p w:rsidR="00B513DC" w:rsidRDefault="0057285D">
      <w:pPr>
        <w:pStyle w:val="affd"/>
        <w:spacing w:before="156" w:after="156"/>
        <w:rPr>
          <w:rFonts w:ascii="等线" w:hAnsi="等线"/>
        </w:rPr>
      </w:pPr>
      <w:r>
        <w:rPr>
          <w:rFonts w:ascii="等线" w:hAnsi="等线" w:hint="eastAsia"/>
        </w:rPr>
        <w:t>基本要求</w:t>
      </w:r>
    </w:p>
    <w:p w:rsidR="00B513DC" w:rsidRDefault="0057285D">
      <w:pPr>
        <w:pStyle w:val="affffffffe"/>
        <w:ind w:left="0"/>
      </w:pPr>
      <w:r>
        <w:rPr>
          <w:rFonts w:hint="eastAsia"/>
        </w:rPr>
        <w:t>水上旅游运输码头设计应对工程区域自然条件、已有工程现状等相关基础资料进行收集分析，其成果应满足设计需要和相关规范要求。</w:t>
      </w:r>
    </w:p>
    <w:p w:rsidR="00B513DC" w:rsidRDefault="0057285D">
      <w:pPr>
        <w:pStyle w:val="affffffffe"/>
        <w:ind w:left="0"/>
      </w:pPr>
      <w:r>
        <w:rPr>
          <w:rFonts w:hint="eastAsia"/>
        </w:rPr>
        <w:t>水上旅游运输码头结构宜采用浮动式，水位变化较小时可采用固定式。</w:t>
      </w:r>
    </w:p>
    <w:p w:rsidR="00B513DC" w:rsidRDefault="0057285D">
      <w:pPr>
        <w:pStyle w:val="affffffffe"/>
        <w:ind w:left="0"/>
      </w:pPr>
      <w:r>
        <w:rPr>
          <w:rFonts w:hint="eastAsia"/>
        </w:rPr>
        <w:t>靠泊船舶长度大于50</w:t>
      </w:r>
      <w:r w:rsidR="009B1A3D">
        <w:rPr>
          <w:rFonts w:ascii="MS Gothic" w:eastAsia="MS Gothic" w:hAnsi="MS Gothic" w:cs="MS Gothic"/>
        </w:rPr>
        <w:t> </w:t>
      </w:r>
      <w:r>
        <w:rPr>
          <w:rFonts w:hint="eastAsia"/>
        </w:rPr>
        <w:t>m的码头宜采用固定式结构或趸船结构，其结构设计应符合JTS 16</w:t>
      </w:r>
      <w:r>
        <w:t>7</w:t>
      </w:r>
      <w:r>
        <w:rPr>
          <w:rFonts w:hint="eastAsia"/>
        </w:rPr>
        <w:t>要求。</w:t>
      </w:r>
    </w:p>
    <w:p w:rsidR="00B513DC" w:rsidRDefault="0057285D">
      <w:pPr>
        <w:pStyle w:val="affffffffe"/>
        <w:ind w:left="0"/>
      </w:pPr>
      <w:r>
        <w:rPr>
          <w:rFonts w:hint="eastAsia"/>
        </w:rPr>
        <w:t>水上旅游运输码头设计应考虑美观要求，视线宜通透。</w:t>
      </w:r>
    </w:p>
    <w:p w:rsidR="00B513DC" w:rsidRDefault="0057285D">
      <w:pPr>
        <w:pStyle w:val="affffffffe"/>
        <w:ind w:left="0"/>
      </w:pPr>
      <w:r>
        <w:rPr>
          <w:rFonts w:hint="eastAsia"/>
        </w:rPr>
        <w:t>安全设施等应与主体工程同时设计、同时施工、同时投入使用。</w:t>
      </w:r>
    </w:p>
    <w:p w:rsidR="00B513DC" w:rsidRDefault="0057285D">
      <w:pPr>
        <w:pStyle w:val="affd"/>
        <w:spacing w:before="156" w:after="156"/>
        <w:rPr>
          <w:rFonts w:ascii="等线" w:hAnsi="等线"/>
        </w:rPr>
      </w:pPr>
      <w:r>
        <w:rPr>
          <w:rFonts w:ascii="等线" w:hAnsi="等线" w:hint="eastAsia"/>
        </w:rPr>
        <w:t>选址</w:t>
      </w:r>
    </w:p>
    <w:p w:rsidR="00B513DC" w:rsidRDefault="0057285D">
      <w:pPr>
        <w:pStyle w:val="affffffffe"/>
        <w:ind w:left="0"/>
      </w:pPr>
      <w:r>
        <w:rPr>
          <w:rFonts w:hint="eastAsia"/>
        </w:rPr>
        <w:t>水上旅游</w:t>
      </w:r>
      <w:r>
        <w:t>运输码头选址应符合</w:t>
      </w:r>
      <w:r>
        <w:rPr>
          <w:rFonts w:hint="eastAsia"/>
        </w:rPr>
        <w:t>国土空间规划、大连市</w:t>
      </w:r>
      <w:r>
        <w:t>游艇码头布局专项规划等相关规划要求。</w:t>
      </w:r>
    </w:p>
    <w:p w:rsidR="00B513DC" w:rsidRDefault="0057285D">
      <w:pPr>
        <w:pStyle w:val="affffffffe"/>
        <w:ind w:left="0"/>
      </w:pPr>
      <w:r>
        <w:rPr>
          <w:rFonts w:hint="eastAsia"/>
        </w:rPr>
        <w:t>水上旅游</w:t>
      </w:r>
      <w:r>
        <w:t>运输码头选址应综合考虑建设规模、自然条件等因素。</w:t>
      </w:r>
    </w:p>
    <w:p w:rsidR="00B513DC" w:rsidRDefault="0057285D">
      <w:pPr>
        <w:pStyle w:val="affffffffe"/>
        <w:ind w:left="0"/>
      </w:pPr>
      <w:r>
        <w:rPr>
          <w:rFonts w:hint="eastAsia"/>
        </w:rPr>
        <w:t>水上旅游</w:t>
      </w:r>
      <w:r>
        <w:t>运输码头选址应考虑</w:t>
      </w:r>
      <w:r>
        <w:rPr>
          <w:rFonts w:hint="eastAsia"/>
        </w:rPr>
        <w:t>运输</w:t>
      </w:r>
      <w:r>
        <w:t>船舶有足够的活动水域，并应减少与其他船舶相互干扰，满足通航、停泊安全要求。</w:t>
      </w:r>
    </w:p>
    <w:p w:rsidR="00B513DC" w:rsidRDefault="0057285D">
      <w:pPr>
        <w:pStyle w:val="affffffffe"/>
        <w:ind w:left="0"/>
      </w:pPr>
      <w:r>
        <w:rPr>
          <w:rFonts w:hint="eastAsia"/>
        </w:rPr>
        <w:t>水上旅游运输码头选址宜选掩护条件良好，波浪、水流作用较小，泥沙运动较弱且天然水深适宜的水域。</w:t>
      </w:r>
    </w:p>
    <w:p w:rsidR="00B513DC" w:rsidRDefault="0057285D">
      <w:pPr>
        <w:pStyle w:val="affffffffe"/>
        <w:ind w:left="0"/>
      </w:pPr>
      <w:r>
        <w:t>在冰冻地区建设</w:t>
      </w:r>
      <w:r>
        <w:rPr>
          <w:rFonts w:hint="eastAsia"/>
        </w:rPr>
        <w:t>水上</w:t>
      </w:r>
      <w:r>
        <w:t>旅游运输码头</w:t>
      </w:r>
      <w:r>
        <w:rPr>
          <w:rFonts w:hint="eastAsia"/>
        </w:rPr>
        <w:t>，</w:t>
      </w:r>
      <w:r>
        <w:t>应采取防冻措施</w:t>
      </w:r>
      <w:r>
        <w:rPr>
          <w:rFonts w:hint="eastAsia"/>
        </w:rPr>
        <w:t>；在泥沙运动较强的地区建设水上旅游运输码头，应充分考虑泥沙运动的影响。</w:t>
      </w:r>
    </w:p>
    <w:p w:rsidR="00B513DC" w:rsidRDefault="0057285D">
      <w:pPr>
        <w:pStyle w:val="affd"/>
        <w:spacing w:before="156" w:after="156"/>
        <w:rPr>
          <w:rFonts w:ascii="等线" w:hAnsi="等线"/>
        </w:rPr>
      </w:pPr>
      <w:r>
        <w:rPr>
          <w:rFonts w:ascii="等线" w:hAnsi="等线" w:hint="eastAsia"/>
        </w:rPr>
        <w:t>设计</w:t>
      </w:r>
    </w:p>
    <w:p w:rsidR="00B513DC" w:rsidRDefault="0057285D">
      <w:pPr>
        <w:pStyle w:val="affe"/>
        <w:spacing w:before="156" w:after="156"/>
        <w:ind w:left="0"/>
      </w:pPr>
      <w:r>
        <w:rPr>
          <w:rFonts w:hint="eastAsia"/>
        </w:rPr>
        <w:t>总平面布置</w:t>
      </w:r>
    </w:p>
    <w:p w:rsidR="00B513DC" w:rsidRDefault="0057285D">
      <w:pPr>
        <w:pStyle w:val="affffffffd"/>
      </w:pPr>
      <w:r>
        <w:rPr>
          <w:rFonts w:hint="eastAsia"/>
        </w:rPr>
        <w:t>水上旅游运输码头总平面设计应在大连市游艇码头布局专项规划的基础上，根据码头规模、安全性和环境保护等因素，充分利用自然条件，合理布置码头水域和陆域，并应符合下列规定：</w:t>
      </w:r>
    </w:p>
    <w:p w:rsidR="00B513DC" w:rsidRDefault="0057285D">
      <w:pPr>
        <w:pStyle w:val="af2"/>
      </w:pPr>
      <w:r>
        <w:rPr>
          <w:rFonts w:hint="eastAsia"/>
        </w:rPr>
        <w:t>水上旅游运输码头前沿停泊水域、回旋水域和进港航道等水域，可根据具体情况组合设置或单独设置。水域布置应满足船舶安全靠离码头、旅客安全上下船、转头和锚泊等要求；</w:t>
      </w:r>
    </w:p>
    <w:p w:rsidR="00B513DC" w:rsidRDefault="0057285D">
      <w:pPr>
        <w:pStyle w:val="af2"/>
      </w:pPr>
      <w:r>
        <w:rPr>
          <w:rFonts w:hint="eastAsia"/>
        </w:rPr>
        <w:t>水上旅游运输码头的长度、泊位水深、航道水深以及周围通航条件应满足靠泊船舶的总长、总宽、满载吃水尺度要求以及船舶靠离码头、回转等操作的需要；</w:t>
      </w:r>
    </w:p>
    <w:p w:rsidR="00B513DC" w:rsidRDefault="0057285D">
      <w:pPr>
        <w:pStyle w:val="af2"/>
      </w:pPr>
      <w:r>
        <w:rPr>
          <w:rFonts w:hint="eastAsia"/>
        </w:rPr>
        <w:t>顺岸式码头的前沿线宜利用天然水深，沿水流方向和自然地形等高线布置。</w:t>
      </w:r>
    </w:p>
    <w:p w:rsidR="00B513DC" w:rsidRDefault="0057285D">
      <w:pPr>
        <w:pStyle w:val="affffffffd"/>
      </w:pPr>
      <w:r>
        <w:rPr>
          <w:rFonts w:hint="eastAsia"/>
        </w:rPr>
        <w:t>改建或扩建水上旅游运输码头的总平面设计应与原有码头相协调，充分、合理地利用原有设施，并应考虑减少建设过程中对原有码头运营的影响。</w:t>
      </w:r>
    </w:p>
    <w:p w:rsidR="00B513DC" w:rsidRDefault="0057285D">
      <w:pPr>
        <w:pStyle w:val="affffffffd"/>
      </w:pPr>
      <w:r>
        <w:rPr>
          <w:rFonts w:hint="eastAsia"/>
        </w:rPr>
        <w:t>水上旅游运输码头设计代表船型应根据市场需求、建设条件、已有船型及未来发展趋势综合确定。资料不足时设计船型尺度可参照JTS 165-7中附录A执行。</w:t>
      </w:r>
    </w:p>
    <w:p w:rsidR="00B513DC" w:rsidRDefault="0057285D">
      <w:pPr>
        <w:pStyle w:val="affffffffd"/>
      </w:pPr>
      <w:r>
        <w:rPr>
          <w:rFonts w:hint="eastAsia"/>
        </w:rPr>
        <w:lastRenderedPageBreak/>
        <w:t>水上旅游运输码头港池及进港航道设计水深的起算面均可采用设计低水位。</w:t>
      </w:r>
    </w:p>
    <w:p w:rsidR="00B513DC" w:rsidRDefault="0057285D">
      <w:pPr>
        <w:pStyle w:val="affffffffd"/>
      </w:pPr>
      <w:r>
        <w:rPr>
          <w:rFonts w:hint="eastAsia"/>
        </w:rPr>
        <w:t>良好掩护码头的水域及航道包括系泊水域、进港航道、内航道和内支航道；开敞式和半开敞式码头的水域及航道包括系泊水域、回旋水域和进港航道。</w:t>
      </w:r>
    </w:p>
    <w:p w:rsidR="00B513DC" w:rsidRDefault="0057285D">
      <w:pPr>
        <w:pStyle w:val="affffffffd"/>
      </w:pPr>
      <w:r>
        <w:rPr>
          <w:rFonts w:hint="eastAsia"/>
        </w:rPr>
        <w:t>良好掩护码头且靠泊船舶长度小于50</w:t>
      </w:r>
      <w:r w:rsidR="009B1A3D">
        <w:rPr>
          <w:rFonts w:ascii="MS Gothic" w:eastAsia="MS Gothic" w:hAnsi="MS Gothic" w:cs="MS Gothic"/>
        </w:rPr>
        <w:t> </w:t>
      </w:r>
      <w:r>
        <w:rPr>
          <w:rFonts w:hint="eastAsia"/>
        </w:rPr>
        <w:t>m的码头水域及航道设计尺度参照JTS 165-7执行；开敞式码头、半开敞式码头及靠泊船舶长度大于等于50</w:t>
      </w:r>
      <w:r w:rsidR="009B1A3D">
        <w:rPr>
          <w:rFonts w:ascii="MS Gothic" w:eastAsia="MS Gothic" w:hAnsi="MS Gothic" w:cs="MS Gothic"/>
        </w:rPr>
        <w:t> </w:t>
      </w:r>
      <w:r>
        <w:rPr>
          <w:rFonts w:hint="eastAsia"/>
        </w:rPr>
        <w:t>m的码头水域及航道设计尺度参照J</w:t>
      </w:r>
      <w:r>
        <w:t>TS 163</w:t>
      </w:r>
      <w:r>
        <w:rPr>
          <w:rFonts w:hint="eastAsia"/>
        </w:rPr>
        <w:t>执行。</w:t>
      </w:r>
    </w:p>
    <w:p w:rsidR="00B513DC" w:rsidRDefault="0057285D">
      <w:pPr>
        <w:pStyle w:val="affffffffd"/>
      </w:pPr>
      <w:r>
        <w:rPr>
          <w:rFonts w:hint="eastAsia"/>
        </w:rPr>
        <w:t>良好掩护码头进港航道的有效宽度可取6倍通航设计船宽，计算宽度大于45</w:t>
      </w:r>
      <w:r w:rsidR="009B1A3D">
        <w:rPr>
          <w:rFonts w:ascii="MS Gothic" w:eastAsia="MS Gothic" w:hAnsi="MS Gothic" w:cs="MS Gothic"/>
        </w:rPr>
        <w:t> </w:t>
      </w:r>
      <w:r>
        <w:rPr>
          <w:rFonts w:hint="eastAsia"/>
        </w:rPr>
        <w:t>m时，且通航最大设计船型的通航密度较小，经论证进港航道的有效宽度可适当缩窄；口门</w:t>
      </w:r>
      <w:proofErr w:type="gramStart"/>
      <w:r>
        <w:rPr>
          <w:rFonts w:hint="eastAsia"/>
        </w:rPr>
        <w:t>束窄段最小</w:t>
      </w:r>
      <w:proofErr w:type="gramEnd"/>
      <w:r>
        <w:rPr>
          <w:rFonts w:hint="eastAsia"/>
        </w:rPr>
        <w:t>宽度可取3倍通航设计船宽；内航道和内支航道的有效宽度可取1.75倍通航最大设计船长，经论证可适当缩窄，但不得小于1.5倍通航最大设计船长。</w:t>
      </w:r>
    </w:p>
    <w:p w:rsidR="00B513DC" w:rsidRDefault="0057285D">
      <w:pPr>
        <w:pStyle w:val="affffffffd"/>
      </w:pPr>
      <w:r>
        <w:rPr>
          <w:rFonts w:hint="eastAsia"/>
        </w:rPr>
        <w:t>浮码头的趸船主尺度应根据靠泊船型确定，趸船长度为0.70</w:t>
      </w:r>
      <w:r>
        <w:rPr>
          <w:rFonts w:hAnsi="宋体" w:hint="eastAsia"/>
        </w:rPr>
        <w:t>～</w:t>
      </w:r>
      <w:r>
        <w:rPr>
          <w:rFonts w:hint="eastAsia"/>
        </w:rPr>
        <w:t>0.90倍设计船长。</w:t>
      </w:r>
    </w:p>
    <w:p w:rsidR="00B513DC" w:rsidRDefault="0057285D">
      <w:pPr>
        <w:pStyle w:val="affe"/>
        <w:spacing w:before="156" w:after="156"/>
        <w:ind w:left="0"/>
      </w:pPr>
      <w:r>
        <w:rPr>
          <w:rFonts w:hint="eastAsia"/>
        </w:rPr>
        <w:t>工艺</w:t>
      </w:r>
    </w:p>
    <w:p w:rsidR="00B513DC" w:rsidRDefault="0057285D">
      <w:pPr>
        <w:pStyle w:val="affffffffd"/>
        <w:rPr>
          <w:szCs w:val="21"/>
        </w:rPr>
      </w:pPr>
      <w:r>
        <w:rPr>
          <w:rFonts w:hint="eastAsia"/>
        </w:rPr>
        <w:t>为适应水位变化，固定式码头或护岸与浮动设施之间应设置</w:t>
      </w:r>
      <w:proofErr w:type="gramStart"/>
      <w:r>
        <w:rPr>
          <w:rFonts w:hint="eastAsia"/>
        </w:rPr>
        <w:t>接岸结构</w:t>
      </w:r>
      <w:proofErr w:type="gramEnd"/>
      <w:r>
        <w:rPr>
          <w:rFonts w:hint="eastAsia"/>
        </w:rPr>
        <w:t>和联系桥；当浮动设施与船舶登船口之间高差大于0.4</w:t>
      </w:r>
      <w:r w:rsidR="009B1A3D">
        <w:rPr>
          <w:rFonts w:ascii="MS Gothic" w:eastAsia="MS Gothic" w:hAnsi="MS Gothic" w:cs="MS Gothic"/>
        </w:rPr>
        <w:t> </w:t>
      </w:r>
      <w:r>
        <w:rPr>
          <w:rFonts w:hint="eastAsia"/>
        </w:rPr>
        <w:t>m时，应设置活动渡板或活动踏步。</w:t>
      </w:r>
    </w:p>
    <w:p w:rsidR="00B513DC" w:rsidRDefault="0057285D">
      <w:pPr>
        <w:pStyle w:val="affffffffd"/>
      </w:pPr>
      <w:proofErr w:type="gramStart"/>
      <w:r>
        <w:rPr>
          <w:rFonts w:hint="eastAsia"/>
        </w:rPr>
        <w:t>联系桥应一端</w:t>
      </w:r>
      <w:proofErr w:type="gramEnd"/>
      <w:r>
        <w:rPr>
          <w:rFonts w:hint="eastAsia"/>
        </w:rPr>
        <w:t>在</w:t>
      </w:r>
      <w:proofErr w:type="gramStart"/>
      <w:r>
        <w:rPr>
          <w:rFonts w:hint="eastAsia"/>
        </w:rPr>
        <w:t>岸侧固定</w:t>
      </w:r>
      <w:proofErr w:type="gramEnd"/>
      <w:r>
        <w:rPr>
          <w:rFonts w:hint="eastAsia"/>
        </w:rPr>
        <w:t>，另一端与浮动设施之间应有安全的搭接长度，搭接长度不应小于0.5m，并应采取防脱落措施。</w:t>
      </w:r>
    </w:p>
    <w:p w:rsidR="00B513DC" w:rsidRDefault="0057285D">
      <w:pPr>
        <w:pStyle w:val="affffffffd"/>
      </w:pPr>
      <w:r>
        <w:rPr>
          <w:rFonts w:hint="eastAsia"/>
        </w:rPr>
        <w:t>联系桥的设计坡度、净宽应根据其服务的泊位数量、交通工具和人员流量确定，坡度</w:t>
      </w:r>
      <w:proofErr w:type="gramStart"/>
      <w:r>
        <w:rPr>
          <w:rFonts w:hint="eastAsia"/>
        </w:rPr>
        <w:t>不宜陡于</w:t>
      </w:r>
      <w:proofErr w:type="gramEnd"/>
      <w:r>
        <w:rPr>
          <w:rFonts w:hint="eastAsia"/>
        </w:rPr>
        <w:t>1:4，净宽不小于0.9</w:t>
      </w:r>
      <w:r w:rsidR="009B1A3D">
        <w:rPr>
          <w:rFonts w:ascii="MS Gothic" w:eastAsia="MS Gothic" w:hAnsi="MS Gothic" w:cs="MS Gothic"/>
        </w:rPr>
        <w:t> </w:t>
      </w:r>
      <w:r>
        <w:rPr>
          <w:rFonts w:hint="eastAsia"/>
        </w:rPr>
        <w:t>m。</w:t>
      </w:r>
    </w:p>
    <w:p w:rsidR="00B513DC" w:rsidRDefault="0057285D">
      <w:pPr>
        <w:pStyle w:val="affffffffd"/>
      </w:pPr>
      <w:r>
        <w:rPr>
          <w:rFonts w:hint="eastAsia"/>
        </w:rPr>
        <w:t>活动渡板坡度</w:t>
      </w:r>
      <w:proofErr w:type="gramStart"/>
      <w:r>
        <w:rPr>
          <w:rFonts w:hint="eastAsia"/>
        </w:rPr>
        <w:t>不宜陡于</w:t>
      </w:r>
      <w:proofErr w:type="gramEnd"/>
      <w:r>
        <w:rPr>
          <w:rFonts w:hint="eastAsia"/>
        </w:rPr>
        <w:t>1:4，活动踏步坡度</w:t>
      </w:r>
      <w:proofErr w:type="gramStart"/>
      <w:r>
        <w:rPr>
          <w:rFonts w:hint="eastAsia"/>
        </w:rPr>
        <w:t>不宜陡于</w:t>
      </w:r>
      <w:proofErr w:type="gramEnd"/>
      <w:r>
        <w:rPr>
          <w:rFonts w:hint="eastAsia"/>
        </w:rPr>
        <w:t>1:2，净宽均不小于1.5</w:t>
      </w:r>
      <w:r w:rsidR="009B1A3D">
        <w:rPr>
          <w:rFonts w:ascii="MS Gothic" w:eastAsia="MS Gothic" w:hAnsi="MS Gothic" w:cs="MS Gothic"/>
        </w:rPr>
        <w:t> </w:t>
      </w:r>
      <w:r>
        <w:rPr>
          <w:rFonts w:hint="eastAsia"/>
        </w:rPr>
        <w:t>m。</w:t>
      </w:r>
    </w:p>
    <w:p w:rsidR="00B513DC" w:rsidRDefault="0057285D">
      <w:pPr>
        <w:pStyle w:val="affffffffd"/>
      </w:pPr>
      <w:r>
        <w:rPr>
          <w:rFonts w:hint="eastAsia"/>
        </w:rPr>
        <w:t>联系桥、活动渡板应有防滑措施。</w:t>
      </w:r>
    </w:p>
    <w:p w:rsidR="00B513DC" w:rsidRDefault="0057285D">
      <w:pPr>
        <w:pStyle w:val="affffffffd"/>
      </w:pPr>
      <w:r>
        <w:rPr>
          <w:rFonts w:hint="eastAsia"/>
        </w:rPr>
        <w:t>水上旅游运输码头</w:t>
      </w:r>
      <w:proofErr w:type="gramStart"/>
      <w:r>
        <w:rPr>
          <w:rFonts w:hint="eastAsia"/>
        </w:rPr>
        <w:t>宜设置无</w:t>
      </w:r>
      <w:proofErr w:type="gramEnd"/>
      <w:r>
        <w:rPr>
          <w:rFonts w:hint="eastAsia"/>
        </w:rPr>
        <w:t>障碍通道。</w:t>
      </w:r>
    </w:p>
    <w:p w:rsidR="00B513DC" w:rsidRDefault="0057285D">
      <w:pPr>
        <w:pStyle w:val="affe"/>
        <w:spacing w:before="156" w:after="156"/>
        <w:ind w:left="0"/>
      </w:pPr>
      <w:r>
        <w:rPr>
          <w:rFonts w:hint="eastAsia"/>
        </w:rPr>
        <w:t>水工建筑物</w:t>
      </w:r>
    </w:p>
    <w:p w:rsidR="00B513DC" w:rsidRDefault="0057285D">
      <w:pPr>
        <w:pStyle w:val="affffffffd"/>
      </w:pPr>
      <w:r>
        <w:rPr>
          <w:rFonts w:hint="eastAsia"/>
        </w:rPr>
        <w:t>水工建筑物可包括防波堤、护岸、斜坡道、固定式码头和浮动式码头等。浮动式码头可</w:t>
      </w:r>
      <w:proofErr w:type="gramStart"/>
      <w:r>
        <w:rPr>
          <w:rFonts w:hint="eastAsia"/>
        </w:rPr>
        <w:t>包括接岸结构</w:t>
      </w:r>
      <w:proofErr w:type="gramEnd"/>
      <w:r>
        <w:rPr>
          <w:rFonts w:hint="eastAsia"/>
        </w:rPr>
        <w:t>、联系桥、浮动设施和锚碇结构等。</w:t>
      </w:r>
    </w:p>
    <w:p w:rsidR="00B513DC" w:rsidRDefault="0057285D">
      <w:pPr>
        <w:pStyle w:val="affffffffd"/>
      </w:pPr>
      <w:r>
        <w:rPr>
          <w:rFonts w:hint="eastAsia"/>
        </w:rPr>
        <w:t>联系桥、定位桩与浮桥结构间及浮桥单元间等应满足间隙和位移相互适应的要求。</w:t>
      </w:r>
    </w:p>
    <w:p w:rsidR="00B513DC" w:rsidRDefault="0057285D">
      <w:pPr>
        <w:pStyle w:val="affffffffd"/>
      </w:pPr>
      <w:r>
        <w:rPr>
          <w:rFonts w:hint="eastAsia"/>
        </w:rPr>
        <w:t>水上旅游运输船舶靠泊侧的浮桥边缘应连续布设护缘。</w:t>
      </w:r>
    </w:p>
    <w:p w:rsidR="00B513DC" w:rsidRDefault="0057285D">
      <w:pPr>
        <w:pStyle w:val="affffffffd"/>
      </w:pPr>
      <w:r>
        <w:rPr>
          <w:rFonts w:hint="eastAsia"/>
        </w:rPr>
        <w:t>浮桥铺面和斜坡道表面应做防滑处理。</w:t>
      </w:r>
    </w:p>
    <w:p w:rsidR="00B513DC" w:rsidRDefault="0057285D">
      <w:pPr>
        <w:pStyle w:val="affffffffd"/>
      </w:pPr>
      <w:r>
        <w:rPr>
          <w:rFonts w:hint="eastAsia"/>
        </w:rPr>
        <w:t>冰冻地区应采取防止结冰对浮桥升降影响的措施。</w:t>
      </w:r>
    </w:p>
    <w:p w:rsidR="00B513DC" w:rsidRDefault="0057285D">
      <w:pPr>
        <w:pStyle w:val="affffffffd"/>
        <w:rPr>
          <w:kern w:val="2"/>
          <w:szCs w:val="21"/>
        </w:rPr>
      </w:pPr>
      <w:r>
        <w:rPr>
          <w:rFonts w:hint="eastAsia"/>
        </w:rPr>
        <w:t>浮桥结构设计人群荷载标准值应取3</w:t>
      </w:r>
      <w:r w:rsidR="009B1A3D">
        <w:rPr>
          <w:rFonts w:ascii="MS Gothic" w:eastAsia="MS Gothic" w:hAnsi="MS Gothic" w:cs="MS Gothic"/>
        </w:rPr>
        <w:t> </w:t>
      </w:r>
      <w:proofErr w:type="spellStart"/>
      <w:r>
        <w:rPr>
          <w:rFonts w:hint="eastAsia"/>
        </w:rPr>
        <w:t>kPa</w:t>
      </w:r>
      <w:proofErr w:type="spellEnd"/>
      <w:r>
        <w:rPr>
          <w:rFonts w:hint="eastAsia"/>
        </w:rPr>
        <w:t>；联系桥结构设计人群荷载标准值应取4</w:t>
      </w:r>
      <w:r w:rsidR="009B1A3D">
        <w:rPr>
          <w:rFonts w:ascii="MS Gothic" w:eastAsia="MS Gothic" w:hAnsi="MS Gothic" w:cs="MS Gothic"/>
        </w:rPr>
        <w:t> </w:t>
      </w:r>
      <w:proofErr w:type="spellStart"/>
      <w:r>
        <w:rPr>
          <w:rFonts w:hint="eastAsia"/>
        </w:rPr>
        <w:t>kPa</w:t>
      </w:r>
      <w:proofErr w:type="spellEnd"/>
      <w:r>
        <w:rPr>
          <w:rFonts w:hint="eastAsia"/>
        </w:rPr>
        <w:t>；集中荷载应根据所配置的流动机械确定，但不应小于4.5</w:t>
      </w:r>
      <w:r w:rsidR="009B1A3D">
        <w:rPr>
          <w:rFonts w:ascii="MS Gothic" w:eastAsia="MS Gothic" w:hAnsi="MS Gothic" w:cs="MS Gothic"/>
        </w:rPr>
        <w:t> </w:t>
      </w:r>
      <w:proofErr w:type="spellStart"/>
      <w:r>
        <w:rPr>
          <w:rFonts w:hint="eastAsia"/>
        </w:rPr>
        <w:t>kN</w:t>
      </w:r>
      <w:proofErr w:type="spellEnd"/>
      <w:r>
        <w:rPr>
          <w:rFonts w:hint="eastAsia"/>
        </w:rPr>
        <w:t>；浮箱人群荷载标准值应取</w:t>
      </w:r>
      <w:r>
        <w:t>2</w:t>
      </w:r>
      <w:r w:rsidR="009B1A3D">
        <w:rPr>
          <w:rFonts w:ascii="MS Gothic" w:eastAsia="MS Gothic" w:hAnsi="MS Gothic" w:cs="MS Gothic"/>
        </w:rPr>
        <w:t> </w:t>
      </w:r>
      <w:proofErr w:type="spellStart"/>
      <w:r>
        <w:rPr>
          <w:rFonts w:hint="eastAsia"/>
        </w:rPr>
        <w:t>kPa</w:t>
      </w:r>
      <w:proofErr w:type="spellEnd"/>
      <w:r>
        <w:rPr>
          <w:rFonts w:hint="eastAsia"/>
        </w:rPr>
        <w:t>。</w:t>
      </w:r>
    </w:p>
    <w:p w:rsidR="00B513DC" w:rsidRDefault="0057285D">
      <w:pPr>
        <w:pStyle w:val="affffffffd"/>
      </w:pPr>
      <w:r>
        <w:rPr>
          <w:rFonts w:hint="eastAsia"/>
        </w:rPr>
        <w:t>浮桥稳定性验算时，人群荷载</w:t>
      </w:r>
      <w:proofErr w:type="gramStart"/>
      <w:r>
        <w:rPr>
          <w:rFonts w:hint="eastAsia"/>
        </w:rPr>
        <w:t>可乘以折减系数</w:t>
      </w:r>
      <w:proofErr w:type="gramEnd"/>
      <w:r>
        <w:rPr>
          <w:rFonts w:hint="eastAsia"/>
        </w:rPr>
        <w:t>，</w:t>
      </w:r>
      <w:proofErr w:type="gramStart"/>
      <w:r>
        <w:rPr>
          <w:rFonts w:hint="eastAsia"/>
        </w:rPr>
        <w:t>折减系数</w:t>
      </w:r>
      <w:proofErr w:type="gramEnd"/>
      <w:r>
        <w:rPr>
          <w:rFonts w:hint="eastAsia"/>
        </w:rPr>
        <w:t>可按表1采用。</w:t>
      </w:r>
    </w:p>
    <w:p w:rsidR="00B513DC" w:rsidRDefault="0057285D">
      <w:pPr>
        <w:pStyle w:val="aff2"/>
        <w:spacing w:before="156" w:after="156"/>
      </w:pPr>
      <w:proofErr w:type="gramStart"/>
      <w:r>
        <w:rPr>
          <w:rFonts w:hint="eastAsia"/>
        </w:rPr>
        <w:t>最小折减系数</w:t>
      </w:r>
      <w:proofErr w:type="gramEnd"/>
    </w:p>
    <w:tbl>
      <w:tblPr>
        <w:tblStyle w:val="affff4"/>
        <w:tblW w:w="0" w:type="auto"/>
        <w:tblBorders>
          <w:left w:val="single" w:sz="8" w:space="0" w:color="auto"/>
        </w:tblBorders>
        <w:tblLook w:val="04A0" w:firstRow="1" w:lastRow="0" w:firstColumn="1" w:lastColumn="0" w:noHBand="0" w:noVBand="1"/>
      </w:tblPr>
      <w:tblGrid>
        <w:gridCol w:w="4669"/>
        <w:gridCol w:w="4670"/>
      </w:tblGrid>
      <w:tr w:rsidR="00B513DC">
        <w:tc>
          <w:tcPr>
            <w:tcW w:w="4669" w:type="dxa"/>
            <w:shd w:val="clear" w:color="auto" w:fill="auto"/>
          </w:tcPr>
          <w:p w:rsidR="00B513DC" w:rsidRDefault="0057285D">
            <w:pPr>
              <w:pStyle w:val="affffffffd"/>
              <w:numPr>
                <w:ilvl w:val="0"/>
                <w:numId w:val="0"/>
              </w:numPr>
              <w:jc w:val="center"/>
              <w:rPr>
                <w:sz w:val="18"/>
              </w:rPr>
            </w:pPr>
            <w:r>
              <w:rPr>
                <w:sz w:val="18"/>
              </w:rPr>
              <w:t>浮桥</w:t>
            </w:r>
          </w:p>
        </w:tc>
        <w:tc>
          <w:tcPr>
            <w:tcW w:w="4670" w:type="dxa"/>
            <w:shd w:val="clear" w:color="auto" w:fill="auto"/>
          </w:tcPr>
          <w:p w:rsidR="00B513DC" w:rsidRDefault="0057285D">
            <w:pPr>
              <w:pStyle w:val="affffffffd"/>
              <w:numPr>
                <w:ilvl w:val="0"/>
                <w:numId w:val="0"/>
              </w:numPr>
              <w:jc w:val="center"/>
              <w:rPr>
                <w:sz w:val="18"/>
              </w:rPr>
            </w:pPr>
            <w:proofErr w:type="gramStart"/>
            <w:r>
              <w:rPr>
                <w:rFonts w:hint="eastAsia"/>
                <w:sz w:val="18"/>
              </w:rPr>
              <w:t>最小折减系数</w:t>
            </w:r>
            <w:proofErr w:type="gramEnd"/>
          </w:p>
        </w:tc>
      </w:tr>
      <w:tr w:rsidR="00B513DC">
        <w:tc>
          <w:tcPr>
            <w:tcW w:w="4669" w:type="dxa"/>
            <w:shd w:val="clear" w:color="auto" w:fill="auto"/>
          </w:tcPr>
          <w:p w:rsidR="00B513DC" w:rsidRDefault="0057285D">
            <w:pPr>
              <w:pStyle w:val="affffffffd"/>
              <w:numPr>
                <w:ilvl w:val="0"/>
                <w:numId w:val="0"/>
              </w:numPr>
              <w:jc w:val="center"/>
              <w:rPr>
                <w:sz w:val="18"/>
              </w:rPr>
            </w:pPr>
            <w:r>
              <w:rPr>
                <w:rFonts w:hint="eastAsia"/>
                <w:sz w:val="18"/>
              </w:rPr>
              <w:t>主浮桥</w:t>
            </w:r>
          </w:p>
        </w:tc>
        <w:tc>
          <w:tcPr>
            <w:tcW w:w="4670" w:type="dxa"/>
            <w:shd w:val="clear" w:color="auto" w:fill="auto"/>
          </w:tcPr>
          <w:p w:rsidR="00B513DC" w:rsidRDefault="0057285D">
            <w:pPr>
              <w:pStyle w:val="affffffffd"/>
              <w:numPr>
                <w:ilvl w:val="0"/>
                <w:numId w:val="0"/>
              </w:numPr>
              <w:jc w:val="center"/>
              <w:rPr>
                <w:sz w:val="18"/>
              </w:rPr>
            </w:pPr>
            <w:r>
              <w:rPr>
                <w:sz w:val="18"/>
              </w:rPr>
              <w:t>0.5</w:t>
            </w:r>
          </w:p>
        </w:tc>
      </w:tr>
      <w:tr w:rsidR="00B513DC">
        <w:tc>
          <w:tcPr>
            <w:tcW w:w="4669" w:type="dxa"/>
            <w:shd w:val="clear" w:color="auto" w:fill="auto"/>
          </w:tcPr>
          <w:p w:rsidR="00B513DC" w:rsidRDefault="0057285D">
            <w:pPr>
              <w:pStyle w:val="affffffffd"/>
              <w:numPr>
                <w:ilvl w:val="0"/>
                <w:numId w:val="0"/>
              </w:numPr>
              <w:jc w:val="center"/>
              <w:rPr>
                <w:sz w:val="18"/>
              </w:rPr>
            </w:pPr>
            <w:r>
              <w:rPr>
                <w:rFonts w:hint="eastAsia"/>
                <w:sz w:val="18"/>
              </w:rPr>
              <w:t>支浮桥</w:t>
            </w:r>
          </w:p>
        </w:tc>
        <w:tc>
          <w:tcPr>
            <w:tcW w:w="4670" w:type="dxa"/>
            <w:shd w:val="clear" w:color="auto" w:fill="auto"/>
          </w:tcPr>
          <w:p w:rsidR="00B513DC" w:rsidRDefault="0057285D">
            <w:pPr>
              <w:pStyle w:val="affffffffd"/>
              <w:numPr>
                <w:ilvl w:val="0"/>
                <w:numId w:val="0"/>
              </w:numPr>
              <w:jc w:val="center"/>
              <w:rPr>
                <w:sz w:val="18"/>
              </w:rPr>
            </w:pPr>
            <w:r>
              <w:rPr>
                <w:sz w:val="18"/>
              </w:rPr>
              <w:t>0.3</w:t>
            </w:r>
          </w:p>
        </w:tc>
      </w:tr>
      <w:tr w:rsidR="00B513DC">
        <w:tc>
          <w:tcPr>
            <w:tcW w:w="9339" w:type="dxa"/>
            <w:gridSpan w:val="2"/>
            <w:shd w:val="clear" w:color="auto" w:fill="auto"/>
          </w:tcPr>
          <w:p w:rsidR="00B513DC" w:rsidRDefault="0057285D" w:rsidP="0057285D">
            <w:pPr>
              <w:pStyle w:val="afff2"/>
            </w:pPr>
            <w:r>
              <w:rPr>
                <w:rFonts w:hint="eastAsia"/>
              </w:rPr>
              <w:t>浮桥上下人员较少时,表中数值可适当减小</w:t>
            </w:r>
          </w:p>
        </w:tc>
      </w:tr>
    </w:tbl>
    <w:p w:rsidR="00B513DC" w:rsidRDefault="0057285D">
      <w:pPr>
        <w:pStyle w:val="affffffffd"/>
      </w:pPr>
      <w:r>
        <w:rPr>
          <w:rFonts w:hint="eastAsia"/>
        </w:rPr>
        <w:t>作用于栏杆顶部的水平荷载标准值宜取1.5</w:t>
      </w:r>
      <w:r w:rsidR="009B1A3D">
        <w:rPr>
          <w:rFonts w:ascii="MS Gothic" w:eastAsia="MS Gothic" w:hAnsi="MS Gothic" w:cs="MS Gothic"/>
        </w:rPr>
        <w:t> </w:t>
      </w:r>
      <w:proofErr w:type="spellStart"/>
      <w:r>
        <w:rPr>
          <w:rFonts w:hint="eastAsia"/>
        </w:rPr>
        <w:t>kN</w:t>
      </w:r>
      <w:proofErr w:type="spellEnd"/>
      <w:r>
        <w:rPr>
          <w:rFonts w:hint="eastAsia"/>
        </w:rPr>
        <w:t>/m。</w:t>
      </w:r>
    </w:p>
    <w:p w:rsidR="00B513DC" w:rsidRDefault="0057285D">
      <w:pPr>
        <w:pStyle w:val="affffffffd"/>
        <w:rPr>
          <w:kern w:val="2"/>
        </w:rPr>
      </w:pPr>
      <w:r>
        <w:rPr>
          <w:rFonts w:hint="eastAsia"/>
        </w:rPr>
        <w:t>浮动设施沿泊位侧均应设置系船设施，可根据浮动设施种类采用系</w:t>
      </w:r>
      <w:proofErr w:type="gramStart"/>
      <w:r>
        <w:rPr>
          <w:rFonts w:hint="eastAsia"/>
        </w:rPr>
        <w:t>船柱或</w:t>
      </w:r>
      <w:proofErr w:type="gramEnd"/>
      <w:r>
        <w:rPr>
          <w:rFonts w:hint="eastAsia"/>
        </w:rPr>
        <w:t>系船</w:t>
      </w:r>
      <w:proofErr w:type="gramStart"/>
      <w:r>
        <w:rPr>
          <w:rFonts w:hint="eastAsia"/>
        </w:rPr>
        <w:t>栓</w:t>
      </w:r>
      <w:proofErr w:type="gramEnd"/>
      <w:r>
        <w:rPr>
          <w:rFonts w:hint="eastAsia"/>
        </w:rPr>
        <w:t>，系</w:t>
      </w:r>
      <w:proofErr w:type="gramStart"/>
      <w:r>
        <w:rPr>
          <w:rFonts w:hint="eastAsia"/>
        </w:rPr>
        <w:t>船设施</w:t>
      </w:r>
      <w:proofErr w:type="gramEnd"/>
      <w:r>
        <w:rPr>
          <w:rFonts w:hint="eastAsia"/>
        </w:rPr>
        <w:t>间距可根据船型确定，且每个泊位系</w:t>
      </w:r>
      <w:proofErr w:type="gramStart"/>
      <w:r>
        <w:rPr>
          <w:rFonts w:hint="eastAsia"/>
        </w:rPr>
        <w:t>船设施</w:t>
      </w:r>
      <w:proofErr w:type="gramEnd"/>
      <w:r>
        <w:rPr>
          <w:rFonts w:hint="eastAsia"/>
        </w:rPr>
        <w:t>不应少于</w:t>
      </w:r>
      <w:r>
        <w:t>2</w:t>
      </w:r>
      <w:r>
        <w:rPr>
          <w:rFonts w:hint="eastAsia"/>
        </w:rPr>
        <w:t>个。</w:t>
      </w:r>
    </w:p>
    <w:p w:rsidR="00B513DC" w:rsidRDefault="0057285D">
      <w:pPr>
        <w:pStyle w:val="affffffffd"/>
        <w:rPr>
          <w:kern w:val="2"/>
        </w:rPr>
      </w:pPr>
      <w:r>
        <w:rPr>
          <w:rFonts w:hint="eastAsia"/>
        </w:rPr>
        <w:t>水上旅游运输码头防撞设施应根据其适用条件、码头结构形式、靠泊船型和靠泊方式确定，可采用橡胶护舷、轮胎护舷、</w:t>
      </w:r>
      <w:proofErr w:type="gramStart"/>
      <w:r>
        <w:rPr>
          <w:rFonts w:hint="eastAsia"/>
        </w:rPr>
        <w:t>木护舷</w:t>
      </w:r>
      <w:proofErr w:type="gramEnd"/>
      <w:r>
        <w:rPr>
          <w:rFonts w:hint="eastAsia"/>
        </w:rPr>
        <w:t>或聚氨酯护舷等。</w:t>
      </w:r>
    </w:p>
    <w:p w:rsidR="00B513DC" w:rsidRDefault="0057285D">
      <w:pPr>
        <w:pStyle w:val="affffffffd"/>
        <w:rPr>
          <w:kern w:val="2"/>
        </w:rPr>
      </w:pPr>
      <w:r>
        <w:rPr>
          <w:rFonts w:hAnsi="宋体" w:hint="eastAsia"/>
          <w:szCs w:val="24"/>
        </w:rPr>
        <w:lastRenderedPageBreak/>
        <w:t>浮箱单元长度宜取</w:t>
      </w:r>
      <w:r>
        <w:rPr>
          <w:rFonts w:hint="eastAsia"/>
          <w:szCs w:val="24"/>
        </w:rPr>
        <w:t>6</w:t>
      </w:r>
      <w:r w:rsidR="009B1A3D">
        <w:rPr>
          <w:rFonts w:ascii="MS Gothic" w:eastAsia="MS Gothic" w:hAnsi="MS Gothic" w:cs="MS Gothic"/>
        </w:rPr>
        <w:t> </w:t>
      </w:r>
      <w:r>
        <w:t>m</w:t>
      </w:r>
      <w:r>
        <w:rPr>
          <w:rFonts w:hAnsi="宋体" w:hint="eastAsia"/>
        </w:rPr>
        <w:t>～</w:t>
      </w:r>
      <w:r>
        <w:rPr>
          <w:rFonts w:hint="eastAsia"/>
          <w:szCs w:val="24"/>
        </w:rPr>
        <w:t>70</w:t>
      </w:r>
      <w:r w:rsidR="009B1A3D">
        <w:rPr>
          <w:rFonts w:ascii="MS Gothic" w:eastAsia="MS Gothic" w:hAnsi="MS Gothic" w:cs="MS Gothic"/>
        </w:rPr>
        <w:t> </w:t>
      </w:r>
      <w:r>
        <w:rPr>
          <w:rFonts w:hint="eastAsia"/>
          <w:szCs w:val="24"/>
        </w:rPr>
        <w:t>m，宽度不小于2</w:t>
      </w:r>
      <w:r w:rsidR="009B1A3D">
        <w:rPr>
          <w:rFonts w:ascii="MS Gothic" w:eastAsia="MS Gothic" w:hAnsi="MS Gothic" w:cs="MS Gothic"/>
        </w:rPr>
        <w:t> </w:t>
      </w:r>
      <w:r>
        <w:rPr>
          <w:szCs w:val="24"/>
        </w:rPr>
        <w:t>m</w:t>
      </w:r>
      <w:r>
        <w:rPr>
          <w:rFonts w:hAnsi="宋体" w:hint="eastAsia"/>
          <w:szCs w:val="24"/>
        </w:rPr>
        <w:t>。</w:t>
      </w:r>
    </w:p>
    <w:p w:rsidR="00B513DC" w:rsidRDefault="0057285D">
      <w:pPr>
        <w:pStyle w:val="affffffffd"/>
      </w:pPr>
      <w:r>
        <w:rPr>
          <w:rFonts w:hint="eastAsia"/>
        </w:rPr>
        <w:t>浮箱内的空腔应填满密度较小的填充物，填充物的体积吸水率不得大于3%。</w:t>
      </w:r>
    </w:p>
    <w:p w:rsidR="00B513DC" w:rsidRDefault="0057285D">
      <w:pPr>
        <w:pStyle w:val="affffffffd"/>
      </w:pPr>
      <w:r>
        <w:rPr>
          <w:rFonts w:hint="eastAsia"/>
        </w:rPr>
        <w:t>浮动设施可采用定位桩、弹性锚绳、锚链、导槽或撑杆等锚碇方式。</w:t>
      </w:r>
    </w:p>
    <w:p w:rsidR="00B513DC" w:rsidRDefault="0057285D">
      <w:pPr>
        <w:pStyle w:val="affffffffd"/>
      </w:pPr>
      <w:r>
        <w:rPr>
          <w:rFonts w:hint="eastAsia"/>
        </w:rPr>
        <w:t>弹性锚绳或锚链宜采用交叉系泊的方式固定，并不</w:t>
      </w:r>
      <w:proofErr w:type="gramStart"/>
      <w:r>
        <w:rPr>
          <w:rFonts w:hint="eastAsia"/>
        </w:rPr>
        <w:t>应影响</w:t>
      </w:r>
      <w:proofErr w:type="gramEnd"/>
      <w:r>
        <w:rPr>
          <w:rFonts w:hint="eastAsia"/>
        </w:rPr>
        <w:t>水上旅游运输的系靠泊和航行。</w:t>
      </w:r>
    </w:p>
    <w:p w:rsidR="00B513DC" w:rsidRDefault="0057285D">
      <w:pPr>
        <w:pStyle w:val="affffffffd"/>
      </w:pPr>
      <w:r>
        <w:rPr>
          <w:rFonts w:hint="eastAsia"/>
        </w:rPr>
        <w:t>浮桥单元间连接处垂直方向宜采用铰接，</w:t>
      </w:r>
      <w:proofErr w:type="gramStart"/>
      <w:r>
        <w:rPr>
          <w:rFonts w:hint="eastAsia"/>
        </w:rPr>
        <w:t>铰结构</w:t>
      </w:r>
      <w:proofErr w:type="gramEnd"/>
      <w:r>
        <w:rPr>
          <w:rFonts w:hint="eastAsia"/>
        </w:rPr>
        <w:t>可采用不锈钢螺栓连接型式，并设缓冲橡胶垫；主浮桥单元和支浮桥单元间宜固接。</w:t>
      </w:r>
    </w:p>
    <w:p w:rsidR="00B513DC" w:rsidRDefault="0057285D">
      <w:pPr>
        <w:pStyle w:val="affffffffd"/>
      </w:pPr>
      <w:r>
        <w:rPr>
          <w:rFonts w:hint="eastAsia"/>
        </w:rPr>
        <w:t>联系桥靠岸端垂直方向应采用铰接，与浮动设施</w:t>
      </w:r>
      <w:proofErr w:type="gramStart"/>
      <w:r>
        <w:rPr>
          <w:rFonts w:hint="eastAsia"/>
        </w:rPr>
        <w:t>连接端应设置</w:t>
      </w:r>
      <w:proofErr w:type="gramEnd"/>
      <w:r>
        <w:rPr>
          <w:rFonts w:hint="eastAsia"/>
        </w:rPr>
        <w:t>滑轮等活动连接结构。</w:t>
      </w:r>
    </w:p>
    <w:p w:rsidR="00B513DC" w:rsidRDefault="0057285D">
      <w:pPr>
        <w:pStyle w:val="affffffffd"/>
      </w:pPr>
      <w:r>
        <w:rPr>
          <w:rFonts w:hint="eastAsia"/>
        </w:rPr>
        <w:t>水上旅游运输码头自重条件下浮体结构干舷宜取30</w:t>
      </w:r>
      <w:r w:rsidR="009B1A3D">
        <w:rPr>
          <w:rFonts w:ascii="MS Gothic" w:eastAsia="MS Gothic" w:hAnsi="MS Gothic" w:cs="MS Gothic"/>
        </w:rPr>
        <w:t> </w:t>
      </w:r>
      <w:r>
        <w:rPr>
          <w:rFonts w:hint="eastAsia"/>
        </w:rPr>
        <w:t>cm～60</w:t>
      </w:r>
      <w:r w:rsidR="009B1A3D">
        <w:rPr>
          <w:rFonts w:ascii="MS Gothic" w:eastAsia="MS Gothic" w:hAnsi="MS Gothic" w:cs="MS Gothic"/>
        </w:rPr>
        <w:t> </w:t>
      </w:r>
      <w:r>
        <w:rPr>
          <w:rFonts w:hint="eastAsia"/>
        </w:rPr>
        <w:t>cm。</w:t>
      </w:r>
    </w:p>
    <w:p w:rsidR="00B513DC" w:rsidRDefault="0057285D">
      <w:pPr>
        <w:pStyle w:val="affffffffd"/>
      </w:pPr>
      <w:r>
        <w:rPr>
          <w:rFonts w:hint="eastAsia"/>
        </w:rPr>
        <w:t>趸船结构计算，趸船应对锚链、锚、撑杆结构、撑杆</w:t>
      </w:r>
      <w:proofErr w:type="gramStart"/>
      <w:r>
        <w:rPr>
          <w:rFonts w:hint="eastAsia"/>
        </w:rPr>
        <w:t>墩</w:t>
      </w:r>
      <w:proofErr w:type="gramEnd"/>
      <w:r>
        <w:rPr>
          <w:rFonts w:hint="eastAsia"/>
        </w:rPr>
        <w:t>进行计算，参照JTS 167执行。</w:t>
      </w:r>
    </w:p>
    <w:p w:rsidR="00B513DC" w:rsidRDefault="0057285D">
      <w:pPr>
        <w:pStyle w:val="affffffffd"/>
      </w:pPr>
      <w:r>
        <w:rPr>
          <w:rFonts w:hint="eastAsia"/>
        </w:rPr>
        <w:t>浮桥结构计算，浮桥应进行抗浮稳定性验算、横向稳定性验算、构件强度计算及锚碇结构内力计算，参照JTS 165-7执行。</w:t>
      </w:r>
    </w:p>
    <w:p w:rsidR="00B513DC" w:rsidRDefault="0057285D">
      <w:pPr>
        <w:pStyle w:val="affffffffd"/>
      </w:pPr>
      <w:r>
        <w:rPr>
          <w:rFonts w:hint="eastAsia"/>
        </w:rPr>
        <w:t>浮箱结构计算，塑料浮箱应进行抗浮稳定性验算；钢筋混凝土</w:t>
      </w:r>
      <w:proofErr w:type="gramStart"/>
      <w:r>
        <w:rPr>
          <w:rFonts w:hint="eastAsia"/>
        </w:rPr>
        <w:t>浮箱及钢浮箱</w:t>
      </w:r>
      <w:proofErr w:type="gramEnd"/>
      <w:r>
        <w:rPr>
          <w:rFonts w:hint="eastAsia"/>
        </w:rPr>
        <w:t>应进行抗浮稳定性验算、横向稳定性验算、构件强度计算及锚碇结构内力计算，参照JTS 165-7执行。</w:t>
      </w:r>
    </w:p>
    <w:p w:rsidR="00B513DC" w:rsidRDefault="0057285D">
      <w:pPr>
        <w:pStyle w:val="affe"/>
        <w:spacing w:before="156" w:after="156"/>
        <w:ind w:left="0"/>
      </w:pPr>
      <w:r>
        <w:t>供电照明</w:t>
      </w:r>
    </w:p>
    <w:p w:rsidR="00B513DC" w:rsidRDefault="0057285D">
      <w:pPr>
        <w:pStyle w:val="afff"/>
        <w:spacing w:before="156" w:after="156"/>
      </w:pPr>
      <w:r>
        <w:rPr>
          <w:rFonts w:hint="eastAsia"/>
        </w:rPr>
        <w:t>供电</w:t>
      </w:r>
    </w:p>
    <w:p w:rsidR="00B513DC" w:rsidRDefault="0057285D">
      <w:pPr>
        <w:pStyle w:val="afffffffff0"/>
        <w:ind w:left="0"/>
        <w:rPr>
          <w:kern w:val="2"/>
        </w:rPr>
      </w:pPr>
      <w:r>
        <w:rPr>
          <w:rFonts w:hint="eastAsia"/>
        </w:rPr>
        <w:t>对于永久性码头，应考虑供电需求，供电系统参照JTS 165-7执行。</w:t>
      </w:r>
    </w:p>
    <w:p w:rsidR="00B513DC" w:rsidRDefault="0057285D">
      <w:pPr>
        <w:pStyle w:val="afffffffff0"/>
        <w:ind w:left="0"/>
      </w:pPr>
      <w:r>
        <w:rPr>
          <w:rFonts w:hint="eastAsia"/>
        </w:rPr>
        <w:t>电缆应采用符合安全和防火要求的敷设方式配线，所有电缆需穿金属管、槽或用阻燃硬塑料管保护，浮桥连接部位的电缆应采用软管防护，各种电缆保护管、槽内均不应有接头；横穿通道的导线应采取固定保护措施，不允许外露。</w:t>
      </w:r>
    </w:p>
    <w:p w:rsidR="00B513DC" w:rsidRDefault="0057285D">
      <w:pPr>
        <w:pStyle w:val="afffffffff0"/>
        <w:ind w:left="0"/>
      </w:pPr>
      <w:r>
        <w:rPr>
          <w:rFonts w:hint="eastAsia"/>
        </w:rPr>
        <w:t>水上旅游运输码头电气箱、柜、</w:t>
      </w:r>
      <w:proofErr w:type="gramStart"/>
      <w:r>
        <w:rPr>
          <w:rFonts w:hint="eastAsia"/>
        </w:rPr>
        <w:t>桩应可靠</w:t>
      </w:r>
      <w:proofErr w:type="gramEnd"/>
      <w:r>
        <w:rPr>
          <w:rFonts w:hint="eastAsia"/>
        </w:rPr>
        <w:t>固定在码头平台上，外壳防护等级不应低于IP55。</w:t>
      </w:r>
    </w:p>
    <w:p w:rsidR="00B513DC" w:rsidRDefault="0057285D">
      <w:pPr>
        <w:pStyle w:val="afffffffff0"/>
        <w:ind w:left="0"/>
      </w:pPr>
      <w:r>
        <w:rPr>
          <w:rFonts w:hint="eastAsia"/>
        </w:rPr>
        <w:t>所有电气装置外露可导电部分应可靠接地，所有金属结构、金属管道都应作等电位联接并可靠接地。</w:t>
      </w:r>
    </w:p>
    <w:p w:rsidR="00B513DC" w:rsidRDefault="0057285D">
      <w:pPr>
        <w:pStyle w:val="afffffffff0"/>
        <w:ind w:left="0"/>
      </w:pPr>
      <w:r>
        <w:rPr>
          <w:rFonts w:hint="eastAsia"/>
        </w:rPr>
        <w:t>水上旅游运输码头所有金属结构、金属管道不得用作保护接地导体。</w:t>
      </w:r>
    </w:p>
    <w:p w:rsidR="00B513DC" w:rsidRDefault="0057285D">
      <w:pPr>
        <w:pStyle w:val="afffffffff0"/>
        <w:ind w:left="0"/>
      </w:pPr>
      <w:r>
        <w:rPr>
          <w:rFonts w:hint="eastAsia"/>
        </w:rPr>
        <w:t>每个供电插座均应安装额定剩余电流小于30</w:t>
      </w:r>
      <w:r>
        <w:rPr>
          <w:rFonts w:ascii="MS Gothic" w:hAnsi="MS Gothic" w:cs="MS Gothic"/>
        </w:rPr>
        <w:t> </w:t>
      </w:r>
      <w:r>
        <w:rPr>
          <w:rFonts w:hint="eastAsia"/>
        </w:rPr>
        <w:t>mA、无延时的剩余电流保护装置，应每月对剩余电流保护装置进行测试。</w:t>
      </w:r>
    </w:p>
    <w:p w:rsidR="00B513DC" w:rsidRDefault="0057285D">
      <w:pPr>
        <w:pStyle w:val="afffffffff0"/>
        <w:ind w:left="0"/>
      </w:pPr>
      <w:r>
        <w:rPr>
          <w:rFonts w:hint="eastAsia"/>
        </w:rPr>
        <w:t>水上旅游运输码头区域应在周边防雷装置的保护范围内。</w:t>
      </w:r>
    </w:p>
    <w:p w:rsidR="00B5081D" w:rsidRDefault="0057285D" w:rsidP="00B5081D">
      <w:pPr>
        <w:pStyle w:val="afffffffff0"/>
        <w:ind w:left="0"/>
      </w:pPr>
      <w:r>
        <w:rPr>
          <w:rFonts w:hint="eastAsia"/>
        </w:rPr>
        <w:t>具备条件的水上旅游运输码头应考虑电动船舶的供电需求。</w:t>
      </w:r>
    </w:p>
    <w:p w:rsidR="00B5081D" w:rsidRPr="00B5081D" w:rsidRDefault="00B5081D" w:rsidP="00B5081D">
      <w:pPr>
        <w:pStyle w:val="afffffffff0"/>
        <w:ind w:left="0"/>
        <w:rPr>
          <w:color w:val="00B0F0"/>
        </w:rPr>
      </w:pPr>
      <w:r w:rsidRPr="00B5081D">
        <w:rPr>
          <w:rFonts w:hint="eastAsia"/>
          <w:color w:val="00B0F0"/>
        </w:rPr>
        <w:t>有夜航需求的水上旅游运输码头，供电负荷应为二级负荷。</w:t>
      </w:r>
    </w:p>
    <w:p w:rsidR="00B513DC" w:rsidRDefault="0057285D">
      <w:pPr>
        <w:pStyle w:val="afff"/>
        <w:spacing w:before="156" w:after="156"/>
      </w:pPr>
      <w:r>
        <w:rPr>
          <w:rFonts w:hint="eastAsia"/>
        </w:rPr>
        <w:t>照明</w:t>
      </w:r>
    </w:p>
    <w:p w:rsidR="00B513DC" w:rsidRDefault="0057285D">
      <w:pPr>
        <w:pStyle w:val="afffffffff0"/>
        <w:ind w:left="0"/>
      </w:pPr>
      <w:r>
        <w:rPr>
          <w:rFonts w:hint="eastAsia"/>
        </w:rPr>
        <w:t>有夜航需求的水上旅游运输码头，</w:t>
      </w:r>
      <w:r w:rsidR="00AB7F94">
        <w:rPr>
          <w:rFonts w:hint="eastAsia"/>
        </w:rPr>
        <w:t>应</w:t>
      </w:r>
      <w:r>
        <w:rPr>
          <w:rFonts w:hint="eastAsia"/>
        </w:rPr>
        <w:t>设置充足的照明设施，照明设施的选择和布置应尽量减少对邻近船舶通航产生眩光，照明范围应覆盖码头旅客出入口、陆域人行道路、联系桥、浮动设施。照度要求如下：</w:t>
      </w:r>
    </w:p>
    <w:p w:rsidR="00B513DC" w:rsidRDefault="0057285D">
      <w:pPr>
        <w:pStyle w:val="affffffffd"/>
        <w:numPr>
          <w:ilvl w:val="4"/>
          <w:numId w:val="0"/>
        </w:numPr>
      </w:pPr>
      <w:r>
        <w:rPr>
          <w:rFonts w:hint="eastAsia"/>
        </w:rPr>
        <w:t>——旅客出入口主要道路地面照度标准值应取15</w:t>
      </w:r>
      <w:r w:rsidR="009B1A3D">
        <w:rPr>
          <w:rFonts w:ascii="MS Gothic" w:eastAsia="MS Gothic" w:hAnsi="MS Gothic" w:cs="MS Gothic"/>
        </w:rPr>
        <w:t> </w:t>
      </w:r>
      <w:r>
        <w:rPr>
          <w:rFonts w:hint="eastAsia"/>
        </w:rPr>
        <w:t>lx；</w:t>
      </w:r>
    </w:p>
    <w:p w:rsidR="00B513DC" w:rsidRDefault="0057285D">
      <w:pPr>
        <w:pStyle w:val="affffffffd"/>
        <w:numPr>
          <w:ilvl w:val="4"/>
          <w:numId w:val="0"/>
        </w:numPr>
      </w:pPr>
      <w:r>
        <w:rPr>
          <w:rFonts w:hint="eastAsia"/>
        </w:rPr>
        <w:t>——次要道路、联系桥地面照度标准值应取10</w:t>
      </w:r>
      <w:r w:rsidR="009B1A3D">
        <w:rPr>
          <w:rFonts w:ascii="MS Gothic" w:eastAsia="MS Gothic" w:hAnsi="MS Gothic" w:cs="MS Gothic"/>
        </w:rPr>
        <w:t> </w:t>
      </w:r>
      <w:r>
        <w:rPr>
          <w:rFonts w:hint="eastAsia"/>
        </w:rPr>
        <w:t>lx；</w:t>
      </w:r>
    </w:p>
    <w:p w:rsidR="00B513DC" w:rsidRDefault="0057285D">
      <w:pPr>
        <w:pStyle w:val="affffffffd"/>
        <w:numPr>
          <w:ilvl w:val="4"/>
          <w:numId w:val="0"/>
        </w:numPr>
      </w:pPr>
      <w:r>
        <w:rPr>
          <w:rFonts w:hint="eastAsia"/>
        </w:rPr>
        <w:t>——浮动设施地面照度标准值应取5</w:t>
      </w:r>
      <w:r w:rsidR="009B1A3D">
        <w:rPr>
          <w:rFonts w:ascii="MS Gothic" w:eastAsia="MS Gothic" w:hAnsi="MS Gothic" w:cs="MS Gothic"/>
        </w:rPr>
        <w:t> </w:t>
      </w:r>
      <w:r>
        <w:rPr>
          <w:rFonts w:hint="eastAsia"/>
        </w:rPr>
        <w:t>lx。</w:t>
      </w:r>
    </w:p>
    <w:p w:rsidR="00B513DC" w:rsidRDefault="0057285D">
      <w:pPr>
        <w:pStyle w:val="afffffffff0"/>
        <w:ind w:left="0"/>
      </w:pPr>
      <w:r>
        <w:rPr>
          <w:rFonts w:hint="eastAsia"/>
        </w:rPr>
        <w:t xml:space="preserve">无夜航需求的水上旅游运输码头，当有值班人员夜间巡查时，应保证在人员巡查道路上安装照明设施并在夜间开启。 </w:t>
      </w:r>
    </w:p>
    <w:p w:rsidR="00B513DC" w:rsidRDefault="0057285D">
      <w:pPr>
        <w:pStyle w:val="afffffffff0"/>
        <w:ind w:left="0"/>
      </w:pPr>
      <w:r>
        <w:rPr>
          <w:rFonts w:hint="eastAsia"/>
        </w:rPr>
        <w:t>水上旅游运输码头配套停车场的照明设施夜间应开启，照明范围应覆盖整个停车场。</w:t>
      </w:r>
    </w:p>
    <w:p w:rsidR="00B513DC" w:rsidRDefault="0057285D">
      <w:pPr>
        <w:pStyle w:val="affe"/>
        <w:spacing w:before="156" w:after="156"/>
        <w:ind w:left="0"/>
      </w:pPr>
      <w:r>
        <w:rPr>
          <w:rFonts w:hint="eastAsia"/>
        </w:rPr>
        <w:t>供水</w:t>
      </w:r>
    </w:p>
    <w:p w:rsidR="00B513DC" w:rsidRDefault="0057285D">
      <w:pPr>
        <w:pStyle w:val="affffffffd"/>
        <w:rPr>
          <w:szCs w:val="21"/>
        </w:rPr>
      </w:pPr>
      <w:r>
        <w:rPr>
          <w:rFonts w:hint="eastAsia"/>
        </w:rPr>
        <w:lastRenderedPageBreak/>
        <w:t>对于永久性的水上旅游运输码头，应考虑供水需求，供水系统可参照JTS 165-7执行。</w:t>
      </w:r>
    </w:p>
    <w:p w:rsidR="00B513DC" w:rsidRDefault="0057285D">
      <w:pPr>
        <w:pStyle w:val="affffffffd"/>
      </w:pPr>
      <w:r>
        <w:rPr>
          <w:rFonts w:hint="eastAsia"/>
        </w:rPr>
        <w:t>供水管道宜采用不锈钢或聚乙烯塑料管，浮桥连接部位的水管应采取防错位挤压的措施。定期对水管进行检查，查看有无漏水和堵塞情况。</w:t>
      </w:r>
    </w:p>
    <w:p w:rsidR="00B513DC" w:rsidRDefault="0057285D">
      <w:pPr>
        <w:pStyle w:val="affffffffd"/>
      </w:pPr>
      <w:r>
        <w:rPr>
          <w:rFonts w:hint="eastAsia"/>
        </w:rPr>
        <w:t>水上旅游运输码头上的消防供水系统不应用于灭火以外的其他用途。</w:t>
      </w:r>
    </w:p>
    <w:p w:rsidR="00B513DC" w:rsidRDefault="0057285D">
      <w:pPr>
        <w:pStyle w:val="affffffffd"/>
      </w:pPr>
      <w:r>
        <w:rPr>
          <w:rFonts w:hint="eastAsia"/>
        </w:rPr>
        <w:t>水上旅游运输码头安装的水管路不应敷设在电气装置上方。</w:t>
      </w:r>
    </w:p>
    <w:p w:rsidR="00B513DC" w:rsidRDefault="0057285D">
      <w:pPr>
        <w:pStyle w:val="affffffffd"/>
      </w:pPr>
      <w:r>
        <w:rPr>
          <w:rFonts w:hint="eastAsia"/>
        </w:rPr>
        <w:t>冬季寒冷天气应将码头供水管道中的水排空，防止水管冻结。</w:t>
      </w:r>
    </w:p>
    <w:p w:rsidR="00B513DC" w:rsidRDefault="0057285D">
      <w:pPr>
        <w:pStyle w:val="affe"/>
        <w:spacing w:before="156" w:after="156"/>
        <w:ind w:left="0"/>
      </w:pPr>
      <w:r>
        <w:rPr>
          <w:rFonts w:hint="eastAsia"/>
        </w:rPr>
        <w:t>消防</w:t>
      </w:r>
    </w:p>
    <w:p w:rsidR="00B513DC" w:rsidRDefault="0057285D">
      <w:pPr>
        <w:pStyle w:val="affffffffd"/>
        <w:rPr>
          <w:kern w:val="2"/>
        </w:rPr>
      </w:pPr>
      <w:r>
        <w:rPr>
          <w:rFonts w:hint="eastAsia"/>
        </w:rPr>
        <w:t>永久性码头的消防应参照JTS 165-7执行。</w:t>
      </w:r>
    </w:p>
    <w:p w:rsidR="00B513DC" w:rsidRDefault="0057285D">
      <w:pPr>
        <w:pStyle w:val="affffffffd"/>
      </w:pPr>
      <w:r>
        <w:rPr>
          <w:rFonts w:hint="eastAsia"/>
        </w:rPr>
        <w:t>具备供水条件的旅游运输码头应配备消防给水系统，应保证系统的最不利点工作压力不低于0.30</w:t>
      </w:r>
      <w:r>
        <w:t> </w:t>
      </w:r>
      <w:proofErr w:type="spellStart"/>
      <w:r>
        <w:rPr>
          <w:rFonts w:hint="eastAsia"/>
        </w:rPr>
        <w:t>MPa</w:t>
      </w:r>
      <w:proofErr w:type="spellEnd"/>
      <w:r>
        <w:rPr>
          <w:rFonts w:hint="eastAsia"/>
        </w:rPr>
        <w:t>，单支水枪流量不低于5</w:t>
      </w:r>
      <w:r w:rsidR="009B1A3D">
        <w:rPr>
          <w:rFonts w:ascii="MS Gothic" w:eastAsia="MS Gothic" w:hAnsi="MS Gothic" w:cs="MS Gothic"/>
        </w:rPr>
        <w:t> </w:t>
      </w:r>
      <w:r>
        <w:rPr>
          <w:rFonts w:hint="eastAsia"/>
        </w:rPr>
        <w:t>L/s；管径不应小于40</w:t>
      </w:r>
      <w:r w:rsidR="009B1A3D">
        <w:rPr>
          <w:rFonts w:ascii="MS Gothic" w:eastAsia="MS Gothic" w:hAnsi="MS Gothic" w:cs="MS Gothic"/>
        </w:rPr>
        <w:t> </w:t>
      </w:r>
      <w:r>
        <w:rPr>
          <w:rFonts w:hint="eastAsia"/>
        </w:rPr>
        <w:t>mm。消火栓箱间距不应大于40</w:t>
      </w:r>
      <w:r w:rsidR="009B1A3D">
        <w:rPr>
          <w:rFonts w:ascii="MS Gothic" w:eastAsia="MS Gothic" w:hAnsi="MS Gothic" w:cs="MS Gothic"/>
        </w:rPr>
        <w:t> </w:t>
      </w:r>
      <w:r>
        <w:rPr>
          <w:rFonts w:hint="eastAsia"/>
        </w:rPr>
        <w:t>m。</w:t>
      </w:r>
    </w:p>
    <w:p w:rsidR="00B513DC" w:rsidRDefault="0057285D">
      <w:pPr>
        <w:pStyle w:val="affffffffd"/>
      </w:pPr>
      <w:r>
        <w:rPr>
          <w:rFonts w:hint="eastAsia"/>
        </w:rPr>
        <w:t>当水上旅游运输码头未配备固定式消防水系统时，应在浮动设施入口处设置移动式水泵、消防水带和枪头。</w:t>
      </w:r>
    </w:p>
    <w:p w:rsidR="00B513DC" w:rsidRDefault="0057285D">
      <w:pPr>
        <w:pStyle w:val="affffffffd"/>
      </w:pPr>
      <w:r>
        <w:rPr>
          <w:rFonts w:hint="eastAsia"/>
        </w:rPr>
        <w:t>泊位上应设置干粉灭火器，灭火器应设置在位置明显和便于取用的地点，且不应影响人员安全疏散，</w:t>
      </w:r>
      <w:proofErr w:type="gramStart"/>
      <w:r>
        <w:rPr>
          <w:rFonts w:hint="eastAsia"/>
        </w:rPr>
        <w:t>宜设置</w:t>
      </w:r>
      <w:proofErr w:type="gramEnd"/>
      <w:r>
        <w:rPr>
          <w:rFonts w:hint="eastAsia"/>
        </w:rPr>
        <w:t>火灾报警装置；燃料补给泊位还应设置水基灭火器。</w:t>
      </w:r>
    </w:p>
    <w:p w:rsidR="00B513DC" w:rsidRDefault="0057285D">
      <w:pPr>
        <w:pStyle w:val="affffffffd"/>
      </w:pPr>
      <w:r>
        <w:rPr>
          <w:rFonts w:hint="eastAsia"/>
        </w:rPr>
        <w:t>灭火器应存放于灭火器箱内，箱外应有“灭火器”标志。每个灭火器定置点至少配备2具灭火器，灭火器定置点的间距不应大于40</w:t>
      </w:r>
      <w:r w:rsidR="009B1A3D">
        <w:rPr>
          <w:rFonts w:ascii="MS Gothic" w:eastAsia="MS Gothic" w:hAnsi="MS Gothic" w:cs="MS Gothic"/>
        </w:rPr>
        <w:t> </w:t>
      </w:r>
      <w:r>
        <w:rPr>
          <w:rFonts w:hint="eastAsia"/>
        </w:rPr>
        <w:t>m。</w:t>
      </w:r>
    </w:p>
    <w:p w:rsidR="00B513DC" w:rsidRDefault="0057285D">
      <w:pPr>
        <w:pStyle w:val="affffffffd"/>
      </w:pPr>
      <w:r>
        <w:rPr>
          <w:rFonts w:hint="eastAsia"/>
        </w:rPr>
        <w:t>消防设施设置在浮动设施上时，应采用螺栓、捆绑等形式进行固定。</w:t>
      </w:r>
    </w:p>
    <w:p w:rsidR="00B513DC" w:rsidRDefault="0057285D">
      <w:pPr>
        <w:pStyle w:val="affe"/>
        <w:spacing w:before="156" w:after="156"/>
        <w:ind w:left="0"/>
      </w:pPr>
      <w:r>
        <w:rPr>
          <w:rFonts w:hint="eastAsia"/>
        </w:rPr>
        <w:t>助航</w:t>
      </w:r>
    </w:p>
    <w:p w:rsidR="00B513DC" w:rsidRDefault="0057285D">
      <w:pPr>
        <w:pStyle w:val="affffffffd"/>
      </w:pPr>
      <w:r>
        <w:rPr>
          <w:rFonts w:hint="eastAsia"/>
        </w:rPr>
        <w:t>永久性码头应设置必要的浮标或信号灯等助航设施。</w:t>
      </w:r>
    </w:p>
    <w:p w:rsidR="00B513DC" w:rsidRDefault="0057285D">
      <w:pPr>
        <w:pStyle w:val="affffffffd"/>
      </w:pPr>
      <w:r>
        <w:rPr>
          <w:rFonts w:hint="eastAsia"/>
        </w:rPr>
        <w:t>永久性码头应设置限速标志牌，最高航速不超过5</w:t>
      </w:r>
      <w:r w:rsidR="009B1A3D">
        <w:rPr>
          <w:rFonts w:ascii="MS Gothic" w:eastAsia="MS Gothic" w:hAnsi="MS Gothic" w:cs="MS Gothic"/>
        </w:rPr>
        <w:t> </w:t>
      </w:r>
      <w:proofErr w:type="spellStart"/>
      <w:r>
        <w:rPr>
          <w:rFonts w:hint="eastAsia"/>
        </w:rPr>
        <w:t>kn</w:t>
      </w:r>
      <w:proofErr w:type="spellEnd"/>
      <w:r>
        <w:rPr>
          <w:rFonts w:hint="eastAsia"/>
        </w:rPr>
        <w:t>。</w:t>
      </w:r>
    </w:p>
    <w:p w:rsidR="00B513DC" w:rsidRDefault="0057285D">
      <w:pPr>
        <w:pStyle w:val="affffffffd"/>
      </w:pPr>
      <w:r>
        <w:rPr>
          <w:rFonts w:hint="eastAsia"/>
        </w:rPr>
        <w:t>永久性码头可采用交通安全标志或无线电助航设施。</w:t>
      </w:r>
    </w:p>
    <w:p w:rsidR="00B513DC" w:rsidRDefault="0057285D">
      <w:pPr>
        <w:pStyle w:val="affffffffd"/>
      </w:pPr>
      <w:r>
        <w:rPr>
          <w:rFonts w:hint="eastAsia"/>
        </w:rPr>
        <w:t>浮动设施最外端应设置红色警示灯。</w:t>
      </w:r>
    </w:p>
    <w:p w:rsidR="00B513DC" w:rsidRDefault="0057285D">
      <w:pPr>
        <w:pStyle w:val="affffffffd"/>
      </w:pPr>
      <w:r>
        <w:rPr>
          <w:rFonts w:hint="eastAsia"/>
        </w:rPr>
        <w:t>水上旅游运输码头应配置无线对讲机，具有遇险呼救报警功能。</w:t>
      </w:r>
    </w:p>
    <w:p w:rsidR="00B513DC" w:rsidRDefault="0057285D">
      <w:pPr>
        <w:pStyle w:val="affffffffd"/>
      </w:pPr>
      <w:r>
        <w:rPr>
          <w:rFonts w:hint="eastAsia"/>
        </w:rPr>
        <w:t>对设置无线电话台的旅游运输码头，无线电话台应满足下列规定：</w:t>
      </w:r>
    </w:p>
    <w:p w:rsidR="00B513DC" w:rsidRDefault="0057285D">
      <w:pPr>
        <w:pStyle w:val="af5"/>
        <w:numPr>
          <w:ilvl w:val="0"/>
          <w:numId w:val="32"/>
        </w:numPr>
      </w:pPr>
      <w:r>
        <w:rPr>
          <w:rFonts w:hint="eastAsia"/>
        </w:rPr>
        <w:t>岸台通信应具有在其覆盖的水域内与船舶电台进行无线电话通信的功能，能够满足遇险呼救和安全通信需要；</w:t>
      </w:r>
    </w:p>
    <w:p w:rsidR="00B513DC" w:rsidRDefault="0057285D">
      <w:pPr>
        <w:pStyle w:val="af5"/>
      </w:pPr>
      <w:r>
        <w:rPr>
          <w:rFonts w:hint="eastAsia"/>
        </w:rPr>
        <w:t>应设置船舶遇险</w:t>
      </w:r>
      <w:proofErr w:type="gramStart"/>
      <w:r>
        <w:rPr>
          <w:rFonts w:hint="eastAsia"/>
        </w:rPr>
        <w:t>呼救守听专用</w:t>
      </w:r>
      <w:proofErr w:type="gramEnd"/>
      <w:r>
        <w:rPr>
          <w:rFonts w:hint="eastAsia"/>
        </w:rPr>
        <w:t>频道，并应配置备用设备。船舶运营期间，船舶遇险</w:t>
      </w:r>
      <w:proofErr w:type="gramStart"/>
      <w:r>
        <w:rPr>
          <w:rFonts w:hint="eastAsia"/>
        </w:rPr>
        <w:t>呼救守听专用</w:t>
      </w:r>
      <w:proofErr w:type="gramEnd"/>
      <w:r>
        <w:rPr>
          <w:rFonts w:hint="eastAsia"/>
        </w:rPr>
        <w:t>频道不得关闭；</w:t>
      </w:r>
    </w:p>
    <w:p w:rsidR="00B513DC" w:rsidRDefault="0057285D">
      <w:pPr>
        <w:pStyle w:val="af5"/>
      </w:pPr>
      <w:r>
        <w:rPr>
          <w:rFonts w:hint="eastAsia"/>
        </w:rPr>
        <w:t>岸台和船台</w:t>
      </w:r>
      <w:proofErr w:type="gramStart"/>
      <w:r>
        <w:rPr>
          <w:rFonts w:hint="eastAsia"/>
        </w:rPr>
        <w:t>各配套</w:t>
      </w:r>
      <w:proofErr w:type="gramEnd"/>
      <w:r>
        <w:rPr>
          <w:rFonts w:hint="eastAsia"/>
        </w:rPr>
        <w:t>设备的性能及技术要求应协调一致。</w:t>
      </w:r>
    </w:p>
    <w:p w:rsidR="001E03A7" w:rsidRDefault="0057285D" w:rsidP="001E03A7">
      <w:pPr>
        <w:pStyle w:val="affffffffd"/>
      </w:pPr>
      <w:r>
        <w:rPr>
          <w:rFonts w:hint="eastAsia"/>
        </w:rPr>
        <w:t>水上旅游运输码头</w:t>
      </w:r>
      <w:proofErr w:type="gramStart"/>
      <w:r>
        <w:rPr>
          <w:rFonts w:hint="eastAsia"/>
        </w:rPr>
        <w:t>宜设置</w:t>
      </w:r>
      <w:proofErr w:type="gramEnd"/>
      <w:r>
        <w:rPr>
          <w:rFonts w:hint="eastAsia"/>
        </w:rPr>
        <w:t>广播设施。</w:t>
      </w:r>
    </w:p>
    <w:p w:rsidR="00B513DC" w:rsidRDefault="0057285D" w:rsidP="001E03A7">
      <w:pPr>
        <w:pStyle w:val="affffffffd"/>
      </w:pPr>
      <w:r>
        <w:rPr>
          <w:rFonts w:hint="eastAsia"/>
        </w:rPr>
        <w:t>水上旅游运输码头</w:t>
      </w:r>
      <w:proofErr w:type="gramStart"/>
      <w:r>
        <w:rPr>
          <w:rFonts w:hint="eastAsia"/>
        </w:rPr>
        <w:t>宜设置安</w:t>
      </w:r>
      <w:proofErr w:type="gramEnd"/>
      <w:r>
        <w:rPr>
          <w:rFonts w:hint="eastAsia"/>
        </w:rPr>
        <w:t>防监视摄像头，</w:t>
      </w:r>
      <w:r w:rsidR="00B5081D" w:rsidRPr="001E03A7">
        <w:rPr>
          <w:rFonts w:hint="eastAsia"/>
          <w:color w:val="00B0F0"/>
        </w:rPr>
        <w:t>有夜航作业的码头，应在人员通道处安装具备夜视功能的监控摄像装置，</w:t>
      </w:r>
      <w:r>
        <w:rPr>
          <w:rFonts w:hint="eastAsia"/>
        </w:rPr>
        <w:t>监控系统宜与公安、海事部门联网。</w:t>
      </w:r>
    </w:p>
    <w:p w:rsidR="00B513DC" w:rsidRDefault="0057285D">
      <w:pPr>
        <w:pStyle w:val="affe"/>
        <w:spacing w:before="156" w:after="156"/>
        <w:ind w:left="0"/>
        <w:rPr>
          <w:szCs w:val="21"/>
        </w:rPr>
      </w:pPr>
      <w:r>
        <w:rPr>
          <w:rFonts w:hint="eastAsia"/>
        </w:rPr>
        <w:t>安全、救生</w:t>
      </w:r>
    </w:p>
    <w:p w:rsidR="00B513DC" w:rsidRDefault="0057285D">
      <w:pPr>
        <w:pStyle w:val="affffffffd"/>
      </w:pPr>
      <w:r>
        <w:rPr>
          <w:rFonts w:hint="eastAsia"/>
        </w:rPr>
        <w:t>水上旅游运输码头浮动设施上应根据其规模配备适量救生衣、救生圈、急救药箱等救生设备和救捞设施，间距不应大于40</w:t>
      </w:r>
      <w:r w:rsidR="009B1A3D">
        <w:rPr>
          <w:rFonts w:ascii="MS Gothic" w:eastAsia="MS Gothic" w:hAnsi="MS Gothic" w:cs="MS Gothic"/>
        </w:rPr>
        <w:t> </w:t>
      </w:r>
      <w:r>
        <w:rPr>
          <w:rFonts w:hint="eastAsia"/>
        </w:rPr>
        <w:t>m，儿童救生衣应符合</w:t>
      </w:r>
      <w:r>
        <w:t>G</w:t>
      </w:r>
      <w:r>
        <w:rPr>
          <w:rFonts w:hint="eastAsia"/>
        </w:rPr>
        <w:t>B/T 32232的要求且配备数量不宜低于20%。</w:t>
      </w:r>
    </w:p>
    <w:p w:rsidR="00B513DC" w:rsidRDefault="0057285D">
      <w:pPr>
        <w:pStyle w:val="affffffffd"/>
      </w:pPr>
      <w:r>
        <w:rPr>
          <w:rFonts w:hint="eastAsia"/>
        </w:rPr>
        <w:t>水上旅游运输码头供旅客通行设施的临水侧均应设置高度不低于1</w:t>
      </w:r>
      <w:r w:rsidR="009B1A3D">
        <w:rPr>
          <w:rFonts w:ascii="MS Gothic" w:eastAsia="MS Gothic" w:hAnsi="MS Gothic" w:cs="MS Gothic"/>
        </w:rPr>
        <w:t> </w:t>
      </w:r>
      <w:r>
        <w:rPr>
          <w:rFonts w:hint="eastAsia"/>
        </w:rPr>
        <w:t>m的固定式或活动式护栏，护栏应选用具有耐腐蚀、抗老化、韧性好的材质，护栏的构造不应采用锐角、利刺等形式，护栏外侧应设置防护网。登船口处采用可拆卸的防护链。</w:t>
      </w:r>
    </w:p>
    <w:p w:rsidR="00B513DC" w:rsidRDefault="0057285D">
      <w:pPr>
        <w:pStyle w:val="affffffffd"/>
      </w:pPr>
      <w:r>
        <w:rPr>
          <w:rFonts w:hint="eastAsia"/>
        </w:rPr>
        <w:t>水上旅游运输码头区域</w:t>
      </w:r>
      <w:proofErr w:type="gramStart"/>
      <w:r>
        <w:rPr>
          <w:rFonts w:hint="eastAsia"/>
        </w:rPr>
        <w:t>宜设置</w:t>
      </w:r>
      <w:proofErr w:type="gramEnd"/>
      <w:r>
        <w:rPr>
          <w:rFonts w:hint="eastAsia"/>
        </w:rPr>
        <w:t>围网，泊位区入口</w:t>
      </w:r>
      <w:proofErr w:type="gramStart"/>
      <w:r>
        <w:rPr>
          <w:rFonts w:hint="eastAsia"/>
        </w:rPr>
        <w:t>宜设置</w:t>
      </w:r>
      <w:proofErr w:type="gramEnd"/>
      <w:r>
        <w:rPr>
          <w:rFonts w:hint="eastAsia"/>
        </w:rPr>
        <w:t>门禁。</w:t>
      </w:r>
    </w:p>
    <w:p w:rsidR="00B513DC" w:rsidRDefault="0057285D">
      <w:pPr>
        <w:pStyle w:val="affffffffd"/>
      </w:pPr>
      <w:r>
        <w:rPr>
          <w:rFonts w:hint="eastAsia"/>
        </w:rPr>
        <w:lastRenderedPageBreak/>
        <w:t>仅设置浮动设施的码头，旅客安检可采用手持安检仪进行安检；设置候船厅的码头，旅客安检宜采用固定式安检机、金属探测门进行安检。</w:t>
      </w:r>
    </w:p>
    <w:p w:rsidR="00B513DC" w:rsidRDefault="0057285D">
      <w:pPr>
        <w:pStyle w:val="affe"/>
        <w:spacing w:before="156" w:after="156"/>
        <w:ind w:left="0"/>
        <w:rPr>
          <w:rFonts w:ascii="宋体" w:eastAsia="宋体" w:hAnsi="宋体" w:cs="宋体"/>
        </w:rPr>
      </w:pPr>
      <w:r>
        <w:rPr>
          <w:rFonts w:hint="eastAsia"/>
        </w:rPr>
        <w:t>环保</w:t>
      </w:r>
    </w:p>
    <w:p w:rsidR="00B513DC" w:rsidRDefault="0057285D">
      <w:pPr>
        <w:pStyle w:val="affffffffd"/>
        <w:rPr>
          <w:kern w:val="2"/>
          <w:szCs w:val="21"/>
        </w:rPr>
      </w:pPr>
      <w:r>
        <w:rPr>
          <w:rFonts w:hint="eastAsia"/>
        </w:rPr>
        <w:t>水上旅游运输码头应当具备生活垃圾和污水收集能力</w:t>
      </w:r>
    </w:p>
    <w:p w:rsidR="00B513DC" w:rsidRDefault="0057285D">
      <w:pPr>
        <w:pStyle w:val="affffffffd"/>
      </w:pPr>
      <w:r>
        <w:rPr>
          <w:rFonts w:hint="eastAsia"/>
        </w:rPr>
        <w:t>建材宜使用绿色环保材料。鼓励采用铝合金、防腐木、 塑木、聚丙乙烯等耐腐蚀、 无污染材料，减少油漆的使用，避免海水污染。</w:t>
      </w:r>
    </w:p>
    <w:p w:rsidR="00B513DC" w:rsidRDefault="0057285D">
      <w:pPr>
        <w:pStyle w:val="affe"/>
        <w:spacing w:before="156" w:after="156"/>
        <w:ind w:left="0"/>
      </w:pPr>
      <w:r>
        <w:t>标识标志</w:t>
      </w:r>
    </w:p>
    <w:p w:rsidR="00B513DC" w:rsidRDefault="0057285D">
      <w:pPr>
        <w:pStyle w:val="affffffffd"/>
      </w:pPr>
      <w:r>
        <w:rPr>
          <w:rFonts w:hint="eastAsia"/>
        </w:rPr>
        <w:t>标识、标志要素的设计应符合</w:t>
      </w:r>
      <w:r>
        <w:t>G</w:t>
      </w:r>
      <w:r>
        <w:rPr>
          <w:rFonts w:hint="eastAsia"/>
        </w:rPr>
        <w:t>B/T 20501.1的要求。</w:t>
      </w:r>
    </w:p>
    <w:p w:rsidR="00B513DC" w:rsidRDefault="0057285D">
      <w:pPr>
        <w:pStyle w:val="affffffffd"/>
      </w:pPr>
      <w:r>
        <w:rPr>
          <w:rFonts w:hint="eastAsia"/>
        </w:rPr>
        <w:t>导向标识设置应符合</w:t>
      </w:r>
      <w:r>
        <w:t>G</w:t>
      </w:r>
      <w:r>
        <w:rPr>
          <w:rFonts w:hint="eastAsia"/>
        </w:rPr>
        <w:t>B/T</w:t>
      </w:r>
      <w:r>
        <w:t xml:space="preserve"> </w:t>
      </w:r>
      <w:r>
        <w:rPr>
          <w:rFonts w:hint="eastAsia"/>
        </w:rPr>
        <w:t>10001.1、GB/T</w:t>
      </w:r>
      <w:r>
        <w:t xml:space="preserve"> </w:t>
      </w:r>
      <w:r>
        <w:rPr>
          <w:rFonts w:hint="eastAsia"/>
        </w:rPr>
        <w:t>10001.3、</w:t>
      </w:r>
      <w:r>
        <w:t>G</w:t>
      </w:r>
      <w:r>
        <w:rPr>
          <w:rFonts w:hint="eastAsia"/>
        </w:rPr>
        <w:t>B/T</w:t>
      </w:r>
      <w:r>
        <w:t xml:space="preserve"> </w:t>
      </w:r>
      <w:r>
        <w:rPr>
          <w:rFonts w:hint="eastAsia"/>
        </w:rPr>
        <w:t>10001.9、GB/T 15566.1以及GB/T 20501.6的相关规定,应有中、英文对照说明。</w:t>
      </w:r>
    </w:p>
    <w:p w:rsidR="00B513DC" w:rsidRDefault="0057285D">
      <w:pPr>
        <w:pStyle w:val="affffffffd"/>
        <w:rPr>
          <w:kern w:val="2"/>
          <w:szCs w:val="21"/>
        </w:rPr>
      </w:pPr>
      <w:r>
        <w:rPr>
          <w:rFonts w:hint="eastAsia"/>
        </w:rPr>
        <w:t>码头应设置紧急疏散逃生、灭火器设备、火灾报警装置等消防安全标志。灭火器设备和火灾报警装置类消防安全标志尺寸应根据消防设备实际尺寸设置，紧急疏散逃生类消防安全标志边长尺寸不应小于100</w:t>
      </w:r>
      <w:r>
        <w:t> </w:t>
      </w:r>
      <w:r>
        <w:rPr>
          <w:rFonts w:hint="eastAsia"/>
        </w:rPr>
        <w:t>mm。消防安全标志样式及形状应符合GB 13495.1和GB 15630的要求。</w:t>
      </w:r>
    </w:p>
    <w:p w:rsidR="00B513DC" w:rsidRDefault="0057285D">
      <w:pPr>
        <w:pStyle w:val="affffffffd"/>
        <w:rPr>
          <w:kern w:val="2"/>
          <w:szCs w:val="21"/>
        </w:rPr>
      </w:pPr>
      <w:r>
        <w:rPr>
          <w:rFonts w:hint="eastAsia"/>
        </w:rPr>
        <w:t>码头应设置当心落水、禁止吸烟、禁止抛物、禁止跨越护栏、必须穿救生衣、船舶限速等安全标志，安全标志应设置于码头醒目位置，安全标志长边尺寸不应小于300</w:t>
      </w:r>
      <w:r>
        <w:t> </w:t>
      </w:r>
      <w:r>
        <w:rPr>
          <w:rFonts w:hint="eastAsia"/>
        </w:rPr>
        <w:t>mm，安全标志样式应符合GB 2894的要求。</w:t>
      </w:r>
    </w:p>
    <w:p w:rsidR="00B513DC" w:rsidRDefault="0057285D">
      <w:pPr>
        <w:pStyle w:val="affffffffd"/>
      </w:pPr>
      <w:r>
        <w:rPr>
          <w:rFonts w:hint="eastAsia"/>
        </w:rPr>
        <w:t>标识、标志悬挂应牢固,悬挂位置不应有造成人体伤害的潜在危险,应对标识、标志进行日常维护。</w:t>
      </w:r>
    </w:p>
    <w:p w:rsidR="00B513DC" w:rsidRDefault="0057285D">
      <w:pPr>
        <w:pStyle w:val="affd"/>
        <w:spacing w:before="156" w:after="156"/>
      </w:pPr>
      <w:r>
        <w:rPr>
          <w:rFonts w:ascii="宋体" w:hAnsi="宋体" w:hint="eastAsia"/>
        </w:rPr>
        <w:t>验收</w:t>
      </w:r>
    </w:p>
    <w:p w:rsidR="00B513DC" w:rsidRDefault="0057285D">
      <w:pPr>
        <w:pStyle w:val="affff2"/>
        <w:widowControl/>
        <w:spacing w:beforeAutospacing="0" w:afterAutospacing="0"/>
        <w:ind w:firstLineChars="200" w:firstLine="420"/>
        <w:textAlignment w:val="baseline"/>
        <w:rPr>
          <w:rFonts w:ascii="宋体" w:hAnsi="宋体" w:cs="宋体"/>
          <w:sz w:val="21"/>
        </w:rPr>
      </w:pPr>
      <w:r>
        <w:rPr>
          <w:rFonts w:ascii="宋体" w:hAnsi="宋体" w:cs="宋体" w:hint="eastAsia"/>
          <w:sz w:val="21"/>
        </w:rPr>
        <w:t>码头建设完成后，建设单位应自行组织专家开展竣工验收，经验收合格后，方可投入使用。</w:t>
      </w:r>
    </w:p>
    <w:p w:rsidR="00B513DC" w:rsidRDefault="0057285D">
      <w:pPr>
        <w:pStyle w:val="affc"/>
        <w:spacing w:before="312" w:after="312"/>
      </w:pPr>
      <w:r>
        <w:t>管理要求</w:t>
      </w:r>
    </w:p>
    <w:p w:rsidR="00B513DC" w:rsidRDefault="0057285D">
      <w:pPr>
        <w:pStyle w:val="affd"/>
        <w:spacing w:before="156" w:after="156"/>
        <w:rPr>
          <w:kern w:val="2"/>
        </w:rPr>
      </w:pPr>
      <w:r>
        <w:rPr>
          <w:rFonts w:hint="eastAsia"/>
          <w:kern w:val="2"/>
        </w:rPr>
        <w:t>基本要求</w:t>
      </w:r>
    </w:p>
    <w:p w:rsidR="00B513DC" w:rsidRDefault="0057285D">
      <w:pPr>
        <w:pStyle w:val="affffffffe"/>
        <w:ind w:left="0"/>
        <w:rPr>
          <w:kern w:val="2"/>
        </w:rPr>
      </w:pPr>
      <w:r>
        <w:rPr>
          <w:rFonts w:hint="eastAsia"/>
        </w:rPr>
        <w:t>应树立</w:t>
      </w:r>
      <w:proofErr w:type="gramStart"/>
      <w:r>
        <w:rPr>
          <w:rFonts w:hint="eastAsia"/>
        </w:rPr>
        <w:t>安全第一</w:t>
      </w:r>
      <w:proofErr w:type="gramEnd"/>
      <w:r>
        <w:rPr>
          <w:rFonts w:hint="eastAsia"/>
        </w:rPr>
        <w:t>的运营理念，持续完善和优化服务质量，合理利用资源，注意低碳节能。</w:t>
      </w:r>
    </w:p>
    <w:p w:rsidR="00B513DC" w:rsidRDefault="0057285D">
      <w:pPr>
        <w:pStyle w:val="affffffffe"/>
        <w:ind w:left="0"/>
      </w:pPr>
      <w:r>
        <w:rPr>
          <w:rFonts w:hint="eastAsia"/>
        </w:rPr>
        <w:t>应维护码头及周边海滩、海域的生态环境，文明经营。</w:t>
      </w:r>
    </w:p>
    <w:p w:rsidR="00B513DC" w:rsidRDefault="0057285D">
      <w:pPr>
        <w:pStyle w:val="affffffffe"/>
        <w:ind w:left="0"/>
      </w:pPr>
      <w:r>
        <w:rPr>
          <w:rFonts w:hint="eastAsia"/>
        </w:rPr>
        <w:t>应健全各项运行管理制度，对人员、事项及服务进行统一管理。</w:t>
      </w:r>
    </w:p>
    <w:p w:rsidR="00B513DC" w:rsidRDefault="0057285D">
      <w:pPr>
        <w:pStyle w:val="affffffffe"/>
        <w:ind w:left="0"/>
      </w:pPr>
      <w:r>
        <w:rPr>
          <w:rFonts w:hint="eastAsia"/>
        </w:rPr>
        <w:t>应设置完善的管理岗位，码头安全管理岗位人员应严格履职，运营期间不得脱岗；须持证上岗应按要求持证上岗。</w:t>
      </w:r>
    </w:p>
    <w:p w:rsidR="00B513DC" w:rsidRDefault="0057285D">
      <w:pPr>
        <w:pStyle w:val="affd"/>
        <w:spacing w:before="156" w:after="156"/>
      </w:pPr>
      <w:r>
        <w:rPr>
          <w:rFonts w:hint="eastAsia"/>
        </w:rPr>
        <w:t>人员管理</w:t>
      </w:r>
    </w:p>
    <w:p w:rsidR="00B513DC" w:rsidRDefault="0057285D">
      <w:pPr>
        <w:pStyle w:val="affffffffe"/>
        <w:ind w:left="0"/>
      </w:pPr>
      <w:r>
        <w:rPr>
          <w:rFonts w:hint="eastAsia"/>
        </w:rPr>
        <w:t>水上旅游运输码头应配备满足其运营需求的工作人员，工作人员应穿着工作制服或佩戴工作证件，举止文明，用语规范。</w:t>
      </w:r>
    </w:p>
    <w:p w:rsidR="00B513DC" w:rsidRDefault="0057285D">
      <w:pPr>
        <w:pStyle w:val="affffffffe"/>
        <w:ind w:left="0"/>
      </w:pPr>
      <w:r>
        <w:rPr>
          <w:rFonts w:hint="eastAsia"/>
        </w:rPr>
        <w:t>工作人员应加强日常教育培训，根据培训计划定期参加业务、安全、应急技能与知识的培训与演练。</w:t>
      </w:r>
    </w:p>
    <w:p w:rsidR="00B513DC" w:rsidRDefault="0057285D">
      <w:pPr>
        <w:pStyle w:val="affffffffe"/>
        <w:ind w:left="0"/>
      </w:pPr>
      <w:r>
        <w:rPr>
          <w:rFonts w:hint="eastAsia"/>
        </w:rPr>
        <w:t>工作人员宜具备较强的组织、协调、应变等能力，应具备基本救护知识和常见急救措施。</w:t>
      </w:r>
    </w:p>
    <w:p w:rsidR="00B513DC" w:rsidRDefault="0057285D">
      <w:pPr>
        <w:pStyle w:val="affffffffe"/>
        <w:ind w:left="0"/>
      </w:pPr>
      <w:r>
        <w:rPr>
          <w:rFonts w:hint="eastAsia"/>
        </w:rPr>
        <w:t>应按附录A设置专职或兼职安全管理人员。</w:t>
      </w:r>
    </w:p>
    <w:p w:rsidR="00B513DC" w:rsidRDefault="0057285D">
      <w:pPr>
        <w:pStyle w:val="affd"/>
        <w:spacing w:before="156" w:after="156"/>
      </w:pPr>
      <w:r>
        <w:rPr>
          <w:rFonts w:hint="eastAsia"/>
        </w:rPr>
        <w:t>服务管理</w:t>
      </w:r>
    </w:p>
    <w:p w:rsidR="00B513DC" w:rsidRDefault="0057285D">
      <w:pPr>
        <w:pStyle w:val="affffffffe"/>
        <w:ind w:left="0"/>
      </w:pPr>
      <w:r>
        <w:rPr>
          <w:rFonts w:hint="eastAsia"/>
        </w:rPr>
        <w:lastRenderedPageBreak/>
        <w:t>应设置充足的旅客休息座椅和行李寄存处；露天旅客临时</w:t>
      </w:r>
      <w:proofErr w:type="gramStart"/>
      <w:r>
        <w:rPr>
          <w:rFonts w:hint="eastAsia"/>
        </w:rPr>
        <w:t>侯船区宜设置</w:t>
      </w:r>
      <w:proofErr w:type="gramEnd"/>
      <w:r>
        <w:rPr>
          <w:rFonts w:hint="eastAsia"/>
        </w:rPr>
        <w:t>防晒和防雨设施。</w:t>
      </w:r>
    </w:p>
    <w:p w:rsidR="00B513DC" w:rsidRDefault="0057285D">
      <w:pPr>
        <w:pStyle w:val="affffffffe"/>
        <w:ind w:left="0"/>
      </w:pPr>
      <w:proofErr w:type="gramStart"/>
      <w:r>
        <w:rPr>
          <w:rFonts w:hint="eastAsia"/>
        </w:rPr>
        <w:t>宜设置</w:t>
      </w:r>
      <w:proofErr w:type="gramEnd"/>
      <w:r>
        <w:rPr>
          <w:rFonts w:hint="eastAsia"/>
        </w:rPr>
        <w:t>公共饮水处，公共无障碍卫生间。</w:t>
      </w:r>
    </w:p>
    <w:p w:rsidR="00B513DC" w:rsidRDefault="0057285D">
      <w:pPr>
        <w:pStyle w:val="affffffffe"/>
        <w:ind w:left="0"/>
      </w:pPr>
      <w:r>
        <w:rPr>
          <w:rFonts w:hint="eastAsia"/>
        </w:rPr>
        <w:t>在醒目位置设置服务咨询台，提供售票、旅客信息咨询和引导服务等，宜通过官方公众号或有关网上平台提供售票服务，并及时向旅客公示售票信息。</w:t>
      </w:r>
    </w:p>
    <w:p w:rsidR="00B513DC" w:rsidRDefault="0057285D">
      <w:pPr>
        <w:pStyle w:val="affffffffe"/>
        <w:ind w:left="0"/>
      </w:pPr>
      <w:r>
        <w:rPr>
          <w:rFonts w:hint="eastAsia"/>
        </w:rPr>
        <w:t>应充分结合码头客流通道布局和客流变化情况进行客流引导服务。</w:t>
      </w:r>
    </w:p>
    <w:p w:rsidR="00B513DC" w:rsidRDefault="0057285D">
      <w:pPr>
        <w:pStyle w:val="affffffffe"/>
        <w:ind w:left="0"/>
      </w:pPr>
      <w:r>
        <w:rPr>
          <w:rFonts w:hint="eastAsia"/>
        </w:rPr>
        <w:t>工作人员应在旅客上船前向旅客展示救生衣的使用方法和乘船过程中的注意事项。当运营船舶为敞开或半敞开式的，应在码头陆域指定位置为旅客配发救生衣，并要求旅客规范穿戴救生衣。每月对救生衣的颜色、面子、反光带、缚带、</w:t>
      </w:r>
      <w:proofErr w:type="gramStart"/>
      <w:r>
        <w:rPr>
          <w:rFonts w:hint="eastAsia"/>
        </w:rPr>
        <w:t>插扣进行</w:t>
      </w:r>
      <w:proofErr w:type="gramEnd"/>
      <w:r>
        <w:rPr>
          <w:rFonts w:hint="eastAsia"/>
        </w:rPr>
        <w:t>检查。救生衣储存时应注意防雨水和日晒，保持清洁。</w:t>
      </w:r>
    </w:p>
    <w:p w:rsidR="00B513DC" w:rsidRDefault="0057285D">
      <w:pPr>
        <w:pStyle w:val="affffffffe"/>
        <w:ind w:left="0"/>
      </w:pPr>
      <w:r>
        <w:rPr>
          <w:rFonts w:hint="eastAsia"/>
        </w:rPr>
        <w:t>应在服务窗口明示服务人员信息,包括但不限于人员姓名、岗位、照片、联系电话。</w:t>
      </w:r>
    </w:p>
    <w:p w:rsidR="00B513DC" w:rsidRDefault="0057285D">
      <w:pPr>
        <w:pStyle w:val="affffffffe"/>
        <w:ind w:left="0"/>
      </w:pPr>
      <w:r>
        <w:rPr>
          <w:rFonts w:hint="eastAsia"/>
        </w:rPr>
        <w:t>应设置固定式或移动式广播，紧急情况下向公众播出相关信息。</w:t>
      </w:r>
    </w:p>
    <w:p w:rsidR="00B513DC" w:rsidRDefault="0057285D">
      <w:pPr>
        <w:pStyle w:val="affffffffe"/>
        <w:ind w:left="0"/>
      </w:pPr>
      <w:r>
        <w:rPr>
          <w:rFonts w:hint="eastAsia"/>
        </w:rPr>
        <w:t>应设置公示栏或电子信息显示设施，公示信息包括以下内容:</w:t>
      </w:r>
    </w:p>
    <w:p w:rsidR="00B513DC" w:rsidRDefault="0057285D">
      <w:pPr>
        <w:pStyle w:val="af5"/>
        <w:numPr>
          <w:ilvl w:val="0"/>
          <w:numId w:val="33"/>
        </w:numPr>
      </w:pPr>
      <w:r>
        <w:rPr>
          <w:rFonts w:hint="eastAsia"/>
        </w:rPr>
        <w:t>服务项目</w:t>
      </w:r>
      <w:r>
        <w:t>；</w:t>
      </w:r>
    </w:p>
    <w:p w:rsidR="00B513DC" w:rsidRDefault="0057285D">
      <w:pPr>
        <w:pStyle w:val="af5"/>
      </w:pPr>
      <w:r>
        <w:rPr>
          <w:rFonts w:hint="eastAsia"/>
        </w:rPr>
        <w:t>旅客须知</w:t>
      </w:r>
      <w:r>
        <w:t>；</w:t>
      </w:r>
    </w:p>
    <w:p w:rsidR="00B513DC" w:rsidRDefault="0057285D">
      <w:pPr>
        <w:pStyle w:val="af5"/>
      </w:pPr>
      <w:r>
        <w:rPr>
          <w:rFonts w:hint="eastAsia"/>
        </w:rPr>
        <w:t>航线示意图</w:t>
      </w:r>
      <w:r>
        <w:t>；</w:t>
      </w:r>
    </w:p>
    <w:p w:rsidR="00B513DC" w:rsidRDefault="0057285D">
      <w:pPr>
        <w:pStyle w:val="af5"/>
      </w:pPr>
      <w:r>
        <w:rPr>
          <w:rFonts w:hint="eastAsia"/>
        </w:rPr>
        <w:t>客票价目表</w:t>
      </w:r>
      <w:r>
        <w:t>；</w:t>
      </w:r>
    </w:p>
    <w:p w:rsidR="00B513DC" w:rsidRDefault="0057285D">
      <w:pPr>
        <w:pStyle w:val="af5"/>
      </w:pPr>
      <w:r>
        <w:rPr>
          <w:rFonts w:hint="eastAsia"/>
        </w:rPr>
        <w:t>咨询投诉电话。</w:t>
      </w:r>
    </w:p>
    <w:p w:rsidR="00B513DC" w:rsidRDefault="0057285D">
      <w:pPr>
        <w:pStyle w:val="affd"/>
        <w:spacing w:before="156" w:after="156"/>
        <w:rPr>
          <w:kern w:val="2"/>
        </w:rPr>
      </w:pPr>
      <w:r>
        <w:rPr>
          <w:rFonts w:hint="eastAsia"/>
        </w:rPr>
        <w:t>作业管理</w:t>
      </w:r>
    </w:p>
    <w:p w:rsidR="00B513DC" w:rsidRDefault="0057285D">
      <w:pPr>
        <w:pStyle w:val="affffffffe"/>
        <w:ind w:left="0"/>
        <w:rPr>
          <w:kern w:val="2"/>
        </w:rPr>
      </w:pPr>
      <w:r>
        <w:rPr>
          <w:rFonts w:hint="eastAsia"/>
        </w:rPr>
        <w:t>水上旅游运输</w:t>
      </w:r>
      <w:r>
        <w:t>码头的系泊允许波高、</w:t>
      </w:r>
      <w:r>
        <w:rPr>
          <w:rFonts w:hint="eastAsia"/>
        </w:rPr>
        <w:t>船舶</w:t>
      </w:r>
      <w:r>
        <w:t>上下岸</w:t>
      </w:r>
      <w:r>
        <w:rPr>
          <w:rFonts w:hint="eastAsia"/>
        </w:rPr>
        <w:t>、旅客上下船、船舶通航、浮动设施撤离等各项</w:t>
      </w:r>
      <w:r>
        <w:t>作业</w:t>
      </w:r>
      <w:r>
        <w:rPr>
          <w:rFonts w:hint="eastAsia"/>
        </w:rPr>
        <w:t>应按规定进行。</w:t>
      </w:r>
    </w:p>
    <w:p w:rsidR="00B513DC" w:rsidRDefault="0057285D">
      <w:pPr>
        <w:pStyle w:val="affffffffe"/>
        <w:ind w:left="0"/>
        <w:rPr>
          <w:rFonts w:ascii="Times New Roman"/>
          <w:szCs w:val="21"/>
        </w:rPr>
      </w:pPr>
      <w:r>
        <w:rPr>
          <w:rFonts w:hint="eastAsia"/>
        </w:rPr>
        <w:t>浮动设施</w:t>
      </w:r>
      <w:r>
        <w:t>系泊允许波高应符合表</w:t>
      </w:r>
      <w:r>
        <w:rPr>
          <w:rFonts w:hint="eastAsia"/>
        </w:rPr>
        <w:t>2</w:t>
      </w:r>
      <w:r>
        <w:t>的要求</w:t>
      </w:r>
      <w:r>
        <w:rPr>
          <w:rFonts w:hint="eastAsia"/>
        </w:rPr>
        <w:t>。</w:t>
      </w:r>
    </w:p>
    <w:p w:rsidR="00B513DC" w:rsidRDefault="0057285D">
      <w:pPr>
        <w:pStyle w:val="aff2"/>
        <w:spacing w:before="156" w:after="156"/>
        <w:rPr>
          <w:kern w:val="2"/>
          <w:szCs w:val="21"/>
        </w:rPr>
      </w:pPr>
      <w:r>
        <w:rPr>
          <w:rFonts w:hint="eastAsia"/>
        </w:rPr>
        <w:t>浮桥式泊位系泊允许波高</w:t>
      </w:r>
    </w:p>
    <w:tbl>
      <w:tblPr>
        <w:tblW w:w="5054" w:type="pct"/>
        <w:tblInd w:w="10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737"/>
        <w:gridCol w:w="4738"/>
      </w:tblGrid>
      <w:tr w:rsidR="00B513DC">
        <w:trPr>
          <w:trHeight w:val="361"/>
        </w:trPr>
        <w:tc>
          <w:tcPr>
            <w:tcW w:w="2500" w:type="pct"/>
            <w:tcBorders>
              <w:top w:val="single" w:sz="8" w:space="0" w:color="000000"/>
              <w:bottom w:val="single" w:sz="8" w:space="0" w:color="000000"/>
            </w:tcBorders>
            <w:shd w:val="clear" w:color="auto" w:fill="auto"/>
            <w:vAlign w:val="center"/>
          </w:tcPr>
          <w:p w:rsidR="00B513DC" w:rsidRDefault="0057285D">
            <w:pPr>
              <w:pStyle w:val="TableParagraph"/>
              <w:rPr>
                <w:rFonts w:cs="Times New Roman"/>
                <w:sz w:val="18"/>
                <w:szCs w:val="21"/>
              </w:rPr>
            </w:pPr>
            <w:r>
              <w:rPr>
                <w:rFonts w:cs="Times New Roman" w:hint="eastAsia"/>
                <w:sz w:val="18"/>
                <w:szCs w:val="21"/>
              </w:rPr>
              <w:t>波向</w:t>
            </w:r>
          </w:p>
        </w:tc>
        <w:tc>
          <w:tcPr>
            <w:tcW w:w="2500" w:type="pct"/>
            <w:tcBorders>
              <w:top w:val="single" w:sz="8" w:space="0" w:color="000000"/>
              <w:bottom w:val="single" w:sz="8" w:space="0" w:color="000000"/>
            </w:tcBorders>
            <w:shd w:val="clear" w:color="auto" w:fill="auto"/>
            <w:vAlign w:val="center"/>
          </w:tcPr>
          <w:p w:rsidR="00B513DC" w:rsidRDefault="0057285D">
            <w:pPr>
              <w:pStyle w:val="TableParagraph"/>
              <w:rPr>
                <w:rFonts w:ascii="Times New Roman"/>
                <w:sz w:val="18"/>
                <w:szCs w:val="21"/>
              </w:rPr>
            </w:pPr>
            <w:r>
              <w:rPr>
                <w:rFonts w:ascii="Times New Roman"/>
                <w:sz w:val="18"/>
                <w:szCs w:val="21"/>
              </w:rPr>
              <w:t>50</w:t>
            </w:r>
            <w:r>
              <w:rPr>
                <w:rFonts w:cs="Times New Roman" w:hint="eastAsia"/>
                <w:sz w:val="18"/>
                <w:szCs w:val="21"/>
              </w:rPr>
              <w:t>年一遇</w:t>
            </w:r>
            <w:r>
              <w:rPr>
                <w:rFonts w:ascii="Times New Roman"/>
                <w:sz w:val="18"/>
                <w:szCs w:val="21"/>
              </w:rPr>
              <w:t>H</w:t>
            </w:r>
            <w:r>
              <w:rPr>
                <w:rFonts w:ascii="Times New Roman"/>
                <w:sz w:val="18"/>
                <w:szCs w:val="21"/>
                <w:vertAlign w:val="subscript"/>
              </w:rPr>
              <w:t>1%</w:t>
            </w:r>
            <w:r>
              <w:rPr>
                <w:rFonts w:cs="Times New Roman" w:hint="eastAsia"/>
                <w:sz w:val="18"/>
                <w:szCs w:val="21"/>
              </w:rPr>
              <w:t>（</w:t>
            </w:r>
            <w:r>
              <w:rPr>
                <w:rFonts w:ascii="Times New Roman"/>
                <w:sz w:val="18"/>
                <w:szCs w:val="21"/>
              </w:rPr>
              <w:t>m</w:t>
            </w:r>
            <w:r>
              <w:rPr>
                <w:rFonts w:cs="Times New Roman" w:hint="eastAsia"/>
                <w:sz w:val="18"/>
                <w:szCs w:val="21"/>
              </w:rPr>
              <w:t>）</w:t>
            </w:r>
          </w:p>
        </w:tc>
      </w:tr>
      <w:tr w:rsidR="00B513DC">
        <w:trPr>
          <w:trHeight w:val="357"/>
        </w:trPr>
        <w:tc>
          <w:tcPr>
            <w:tcW w:w="2500" w:type="pct"/>
            <w:tcBorders>
              <w:top w:val="single" w:sz="8" w:space="0" w:color="000000"/>
            </w:tcBorders>
            <w:shd w:val="clear" w:color="auto" w:fill="auto"/>
            <w:vAlign w:val="center"/>
          </w:tcPr>
          <w:p w:rsidR="00B513DC" w:rsidRDefault="0057285D">
            <w:pPr>
              <w:pStyle w:val="TableParagraph"/>
              <w:rPr>
                <w:rFonts w:cs="Times New Roman"/>
                <w:sz w:val="18"/>
                <w:szCs w:val="21"/>
              </w:rPr>
            </w:pPr>
            <w:r>
              <w:rPr>
                <w:rFonts w:cs="Times New Roman" w:hint="eastAsia"/>
                <w:sz w:val="18"/>
                <w:szCs w:val="21"/>
              </w:rPr>
              <w:t>横浪</w:t>
            </w:r>
          </w:p>
        </w:tc>
        <w:tc>
          <w:tcPr>
            <w:tcW w:w="2500" w:type="pct"/>
            <w:tcBorders>
              <w:top w:val="single" w:sz="8" w:space="0" w:color="000000"/>
            </w:tcBorders>
            <w:shd w:val="clear" w:color="auto" w:fill="auto"/>
            <w:vAlign w:val="center"/>
          </w:tcPr>
          <w:p w:rsidR="00B513DC" w:rsidRDefault="0057285D">
            <w:pPr>
              <w:pStyle w:val="TableParagraph"/>
              <w:rPr>
                <w:rFonts w:ascii="Times New Roman" w:hAnsi="Times New Roman"/>
                <w:sz w:val="18"/>
                <w:szCs w:val="21"/>
              </w:rPr>
            </w:pPr>
            <w:r>
              <w:rPr>
                <w:rFonts w:cs="Times New Roman" w:hint="eastAsia"/>
                <w:sz w:val="18"/>
                <w:szCs w:val="21"/>
              </w:rPr>
              <w:t>≤</w:t>
            </w:r>
            <w:r>
              <w:rPr>
                <w:rFonts w:ascii="Times New Roman" w:hAnsi="Times New Roman"/>
                <w:sz w:val="18"/>
                <w:szCs w:val="21"/>
              </w:rPr>
              <w:t>0.5</w:t>
            </w:r>
          </w:p>
        </w:tc>
      </w:tr>
      <w:tr w:rsidR="00B513DC">
        <w:trPr>
          <w:trHeight w:val="357"/>
        </w:trPr>
        <w:tc>
          <w:tcPr>
            <w:tcW w:w="2500" w:type="pct"/>
            <w:shd w:val="clear" w:color="auto" w:fill="auto"/>
            <w:vAlign w:val="center"/>
          </w:tcPr>
          <w:p w:rsidR="00B513DC" w:rsidRDefault="0057285D">
            <w:pPr>
              <w:pStyle w:val="TableParagraph"/>
              <w:rPr>
                <w:rFonts w:cs="Times New Roman"/>
                <w:sz w:val="18"/>
                <w:szCs w:val="21"/>
              </w:rPr>
            </w:pPr>
            <w:proofErr w:type="gramStart"/>
            <w:r>
              <w:rPr>
                <w:rFonts w:cs="Times New Roman" w:hint="eastAsia"/>
                <w:sz w:val="18"/>
                <w:szCs w:val="21"/>
              </w:rPr>
              <w:t>顺浪</w:t>
            </w:r>
            <w:proofErr w:type="gramEnd"/>
          </w:p>
        </w:tc>
        <w:tc>
          <w:tcPr>
            <w:tcW w:w="2500" w:type="pct"/>
            <w:shd w:val="clear" w:color="auto" w:fill="auto"/>
            <w:vAlign w:val="center"/>
          </w:tcPr>
          <w:p w:rsidR="00B513DC" w:rsidRDefault="0057285D">
            <w:pPr>
              <w:pStyle w:val="TableParagraph"/>
              <w:rPr>
                <w:rFonts w:ascii="Times New Roman" w:hAnsi="Times New Roman"/>
                <w:sz w:val="18"/>
                <w:szCs w:val="21"/>
              </w:rPr>
            </w:pPr>
            <w:r>
              <w:rPr>
                <w:rFonts w:cs="Times New Roman" w:hint="eastAsia"/>
                <w:sz w:val="18"/>
                <w:szCs w:val="21"/>
              </w:rPr>
              <w:t>≤</w:t>
            </w:r>
            <w:r>
              <w:rPr>
                <w:rFonts w:ascii="Times New Roman" w:hAnsi="Times New Roman"/>
                <w:sz w:val="18"/>
                <w:szCs w:val="21"/>
              </w:rPr>
              <w:t>1.1</w:t>
            </w:r>
          </w:p>
        </w:tc>
      </w:tr>
      <w:tr w:rsidR="00B513DC">
        <w:trPr>
          <w:trHeight w:val="357"/>
        </w:trPr>
        <w:tc>
          <w:tcPr>
            <w:tcW w:w="1" w:type="pct"/>
            <w:gridSpan w:val="2"/>
            <w:shd w:val="clear" w:color="auto" w:fill="auto"/>
            <w:vAlign w:val="center"/>
          </w:tcPr>
          <w:p w:rsidR="00B513DC" w:rsidRDefault="0057285D">
            <w:pPr>
              <w:pStyle w:val="a5"/>
              <w:rPr>
                <w:rFonts w:ascii="Times New Roman"/>
                <w:kern w:val="2"/>
                <w:szCs w:val="21"/>
              </w:rPr>
            </w:pPr>
            <w:r>
              <w:rPr>
                <w:rFonts w:hint="eastAsia"/>
              </w:rPr>
              <w:t>H</w:t>
            </w:r>
            <w:r>
              <w:rPr>
                <w:rFonts w:hint="eastAsia"/>
                <w:vertAlign w:val="subscript"/>
              </w:rPr>
              <w:t>1%</w:t>
            </w:r>
            <w:r>
              <w:rPr>
                <w:rFonts w:hint="eastAsia"/>
              </w:rPr>
              <w:t>为波列累积频率1%的波高。</w:t>
            </w:r>
          </w:p>
          <w:p w:rsidR="00B513DC" w:rsidRDefault="0057285D">
            <w:pPr>
              <w:pStyle w:val="a5"/>
              <w:rPr>
                <w:sz w:val="21"/>
                <w:szCs w:val="21"/>
              </w:rPr>
            </w:pPr>
            <w:r>
              <w:rPr>
                <w:rFonts w:hint="eastAsia"/>
              </w:rPr>
              <w:t>根据浮桥结构、船型、系靠泊设施、防护设施等条件，经论证表中数值可适当增减，必要时应通过模型试验验证。</w:t>
            </w:r>
          </w:p>
        </w:tc>
      </w:tr>
    </w:tbl>
    <w:p w:rsidR="00B513DC" w:rsidRDefault="0057285D">
      <w:pPr>
        <w:pStyle w:val="affffffffe"/>
        <w:ind w:left="0"/>
      </w:pPr>
      <w:r>
        <w:rPr>
          <w:rFonts w:hint="eastAsia"/>
        </w:rPr>
        <w:t>船舶</w:t>
      </w:r>
      <w:r>
        <w:t>上下岸作业应符合下列规定：</w:t>
      </w:r>
    </w:p>
    <w:p w:rsidR="00B513DC" w:rsidRDefault="0057285D">
      <w:pPr>
        <w:pStyle w:val="af5"/>
        <w:numPr>
          <w:ilvl w:val="0"/>
          <w:numId w:val="34"/>
        </w:numPr>
      </w:pPr>
      <w:r>
        <w:t>允许风力</w:t>
      </w:r>
      <w:r>
        <w:rPr>
          <w:rFonts w:hint="eastAsia"/>
        </w:rPr>
        <w:t>≤</w:t>
      </w:r>
      <w:r>
        <w:t>6级；</w:t>
      </w:r>
    </w:p>
    <w:p w:rsidR="00B513DC" w:rsidRDefault="0057285D">
      <w:pPr>
        <w:pStyle w:val="af5"/>
      </w:pPr>
      <w:r>
        <w:t>波高H</w:t>
      </w:r>
      <w:r>
        <w:rPr>
          <w:vertAlign w:val="subscript"/>
        </w:rPr>
        <w:t>4%</w:t>
      </w:r>
      <w:r>
        <w:rPr>
          <w:rFonts w:hint="eastAsia"/>
        </w:rPr>
        <w:t>≤</w:t>
      </w:r>
      <w:r>
        <w:t>0.25</w:t>
      </w:r>
      <w:r w:rsidR="009B1A3D">
        <w:rPr>
          <w:rFonts w:ascii="MS Gothic" w:eastAsia="MS Gothic" w:hAnsi="MS Gothic" w:cs="MS Gothic"/>
        </w:rPr>
        <w:t> </w:t>
      </w:r>
      <w:r>
        <w:t>m；</w:t>
      </w:r>
    </w:p>
    <w:p w:rsidR="00B513DC" w:rsidRDefault="0057285D">
      <w:pPr>
        <w:pStyle w:val="af5"/>
      </w:pPr>
      <w:r>
        <w:t>暴雨期间停止作业。</w:t>
      </w:r>
    </w:p>
    <w:p w:rsidR="00B513DC" w:rsidRDefault="0057285D">
      <w:pPr>
        <w:pStyle w:val="affffffffe"/>
        <w:ind w:left="0"/>
      </w:pPr>
      <w:r>
        <w:rPr>
          <w:rFonts w:hint="eastAsia"/>
        </w:rPr>
        <w:t>旅客上下船作业应符合下列规定：</w:t>
      </w:r>
    </w:p>
    <w:p w:rsidR="00B513DC" w:rsidRDefault="0057285D">
      <w:pPr>
        <w:pStyle w:val="af5"/>
        <w:numPr>
          <w:ilvl w:val="0"/>
          <w:numId w:val="35"/>
        </w:numPr>
      </w:pPr>
      <w:r>
        <w:rPr>
          <w:rFonts w:hint="eastAsia"/>
        </w:rPr>
        <w:t>风力等级≤3级且浪高＜0.3</w:t>
      </w:r>
      <w:r w:rsidR="009B1A3D">
        <w:rPr>
          <w:rFonts w:ascii="MS Gothic" w:eastAsia="MS Gothic" w:hAnsi="MS Gothic" w:cs="MS Gothic"/>
        </w:rPr>
        <w:t> </w:t>
      </w:r>
      <w:r>
        <w:rPr>
          <w:rFonts w:hint="eastAsia"/>
        </w:rPr>
        <w:t>m时为安全作业范围；</w:t>
      </w:r>
    </w:p>
    <w:p w:rsidR="00B513DC" w:rsidRDefault="0057285D">
      <w:pPr>
        <w:pStyle w:val="af5"/>
      </w:pPr>
      <w:r>
        <w:rPr>
          <w:rFonts w:hint="eastAsia"/>
        </w:rPr>
        <w:t>风力等级4</w:t>
      </w:r>
      <w:r>
        <w:rPr>
          <w:rFonts w:hAnsi="宋体" w:hint="eastAsia"/>
        </w:rPr>
        <w:t>～</w:t>
      </w:r>
      <w:r>
        <w:rPr>
          <w:rFonts w:hint="eastAsia"/>
        </w:rPr>
        <w:t>5级且浪高＜0.3</w:t>
      </w:r>
      <w:r w:rsidR="009B1A3D">
        <w:rPr>
          <w:rFonts w:ascii="MS Gothic" w:eastAsia="MS Gothic" w:hAnsi="MS Gothic" w:cs="MS Gothic" w:hint="eastAsia"/>
        </w:rPr>
        <w:t> </w:t>
      </w:r>
      <w:r>
        <w:rPr>
          <w:rFonts w:hint="eastAsia"/>
        </w:rPr>
        <w:t>m时可以作业，但必须采取安全防护措施，防止人员意外落水；</w:t>
      </w:r>
    </w:p>
    <w:p w:rsidR="00B513DC" w:rsidRDefault="0057285D">
      <w:pPr>
        <w:pStyle w:val="af5"/>
      </w:pPr>
      <w:r>
        <w:rPr>
          <w:rFonts w:hint="eastAsia"/>
        </w:rPr>
        <w:t>风力等级6</w:t>
      </w:r>
      <w:r>
        <w:rPr>
          <w:rFonts w:hAnsi="宋体" w:hint="eastAsia"/>
        </w:rPr>
        <w:t>～</w:t>
      </w:r>
      <w:r>
        <w:rPr>
          <w:rFonts w:hint="eastAsia"/>
        </w:rPr>
        <w:t>8级或中雨及以上或浪高≥0.3</w:t>
      </w:r>
      <w:r w:rsidR="009B1A3D">
        <w:rPr>
          <w:rFonts w:ascii="MS Gothic" w:eastAsia="MS Gothic" w:hAnsi="MS Gothic" w:cs="MS Gothic"/>
        </w:rPr>
        <w:t> </w:t>
      </w:r>
      <w:r>
        <w:rPr>
          <w:rFonts w:hint="eastAsia"/>
        </w:rPr>
        <w:t>m时为限制作业范围，禁止旅客进入码头。</w:t>
      </w:r>
    </w:p>
    <w:p w:rsidR="00B513DC" w:rsidRDefault="0057285D">
      <w:pPr>
        <w:pStyle w:val="affffffffe"/>
        <w:ind w:left="0"/>
      </w:pPr>
      <w:r>
        <w:rPr>
          <w:rFonts w:hint="eastAsia"/>
        </w:rPr>
        <w:t>船舶通航作业应符合下列规定：</w:t>
      </w:r>
    </w:p>
    <w:p w:rsidR="00B513DC" w:rsidRDefault="0057285D">
      <w:pPr>
        <w:pStyle w:val="af5"/>
        <w:numPr>
          <w:ilvl w:val="0"/>
          <w:numId w:val="36"/>
        </w:numPr>
        <w:rPr>
          <w:rFonts w:ascii="Times New Roman"/>
        </w:rPr>
      </w:pPr>
      <w:r>
        <w:rPr>
          <w:rFonts w:hAnsi="宋体"/>
        </w:rPr>
        <w:t>波高</w:t>
      </w:r>
      <w:r>
        <w:t>H</w:t>
      </w:r>
      <w:r>
        <w:rPr>
          <w:vertAlign w:val="subscript"/>
        </w:rPr>
        <w:t>4%</w:t>
      </w:r>
      <w:r>
        <w:rPr>
          <w:rFonts w:hAnsi="宋体" w:hint="eastAsia"/>
        </w:rPr>
        <w:t>≤</w:t>
      </w:r>
      <w:r>
        <w:rPr>
          <w:rFonts w:hint="eastAsia"/>
        </w:rPr>
        <w:t>1</w:t>
      </w:r>
      <w:r>
        <w:t>.</w:t>
      </w:r>
      <w:r>
        <w:rPr>
          <w:rFonts w:hint="eastAsia"/>
        </w:rPr>
        <w:t>0</w:t>
      </w:r>
      <w:r w:rsidR="009B1A3D">
        <w:rPr>
          <w:rFonts w:ascii="MS Gothic" w:eastAsia="MS Gothic" w:hAnsi="MS Gothic" w:cs="MS Gothic" w:hint="eastAsia"/>
        </w:rPr>
        <w:t> </w:t>
      </w:r>
      <w:r>
        <w:t>m</w:t>
      </w:r>
      <w:r>
        <w:rPr>
          <w:rFonts w:hAnsi="宋体"/>
        </w:rPr>
        <w:t>；</w:t>
      </w:r>
    </w:p>
    <w:p w:rsidR="00B513DC" w:rsidRDefault="0057285D">
      <w:pPr>
        <w:pStyle w:val="af5"/>
        <w:rPr>
          <w:rFonts w:hAnsi="宋体"/>
        </w:rPr>
      </w:pPr>
      <w:r>
        <w:rPr>
          <w:rFonts w:hAnsi="宋体" w:hint="eastAsia"/>
        </w:rPr>
        <w:t>纵向流速≤</w:t>
      </w:r>
      <w:r>
        <w:rPr>
          <w:rFonts w:hint="eastAsia"/>
        </w:rPr>
        <w:t>2.0</w:t>
      </w:r>
      <w:r w:rsidR="009B1A3D">
        <w:rPr>
          <w:rFonts w:ascii="MS Gothic" w:eastAsia="MS Gothic" w:hAnsi="MS Gothic" w:cs="MS Gothic" w:hint="eastAsia"/>
        </w:rPr>
        <w:t> </w:t>
      </w:r>
      <w:r>
        <w:rPr>
          <w:rFonts w:hint="eastAsia"/>
        </w:rPr>
        <w:t>m/s</w:t>
      </w:r>
      <w:r>
        <w:rPr>
          <w:rFonts w:hAnsi="宋体" w:hint="eastAsia"/>
        </w:rPr>
        <w:t>，横向流速≤</w:t>
      </w:r>
      <w:r>
        <w:rPr>
          <w:rFonts w:hint="eastAsia"/>
        </w:rPr>
        <w:t>1.0</w:t>
      </w:r>
      <w:r w:rsidR="009B1A3D">
        <w:rPr>
          <w:rFonts w:ascii="MS Gothic" w:eastAsia="MS Gothic" w:hAnsi="MS Gothic" w:cs="MS Gothic" w:hint="eastAsia"/>
        </w:rPr>
        <w:t> </w:t>
      </w:r>
      <w:r>
        <w:rPr>
          <w:rFonts w:hint="eastAsia"/>
        </w:rPr>
        <w:t>m/s</w:t>
      </w:r>
      <w:r>
        <w:rPr>
          <w:rFonts w:hAnsi="宋体" w:hint="eastAsia"/>
        </w:rPr>
        <w:t>；</w:t>
      </w:r>
    </w:p>
    <w:p w:rsidR="00B513DC" w:rsidRDefault="0057285D">
      <w:pPr>
        <w:pStyle w:val="af5"/>
        <w:rPr>
          <w:rFonts w:hAnsi="宋体"/>
        </w:rPr>
      </w:pPr>
      <w:r>
        <w:rPr>
          <w:rFonts w:hAnsi="宋体"/>
        </w:rPr>
        <w:t>允许风力</w:t>
      </w:r>
      <w:r>
        <w:rPr>
          <w:rFonts w:hAnsi="宋体" w:hint="eastAsia"/>
        </w:rPr>
        <w:t>≤</w:t>
      </w:r>
      <w:r>
        <w:t>6</w:t>
      </w:r>
      <w:r>
        <w:rPr>
          <w:rFonts w:hAnsi="宋体"/>
        </w:rPr>
        <w:t>级；</w:t>
      </w:r>
    </w:p>
    <w:p w:rsidR="00B513DC" w:rsidRDefault="0057285D">
      <w:pPr>
        <w:pStyle w:val="af5"/>
        <w:rPr>
          <w:rFonts w:hAnsi="宋体"/>
        </w:rPr>
      </w:pPr>
      <w:r>
        <w:rPr>
          <w:rFonts w:hAnsi="宋体" w:hint="eastAsia"/>
        </w:rPr>
        <w:t>能见度＞</w:t>
      </w:r>
      <w:r>
        <w:rPr>
          <w:rFonts w:hint="eastAsia"/>
        </w:rPr>
        <w:t>1000</w:t>
      </w:r>
      <w:r w:rsidR="009B1A3D">
        <w:rPr>
          <w:rFonts w:ascii="MS Gothic" w:eastAsia="MS Gothic" w:hAnsi="MS Gothic" w:cs="MS Gothic" w:hint="eastAsia"/>
        </w:rPr>
        <w:t> </w:t>
      </w:r>
      <w:r>
        <w:rPr>
          <w:rFonts w:hint="eastAsia"/>
        </w:rPr>
        <w:t>m；</w:t>
      </w:r>
    </w:p>
    <w:p w:rsidR="00B513DC" w:rsidRPr="00793B60" w:rsidRDefault="0057285D" w:rsidP="00793B60">
      <w:pPr>
        <w:pStyle w:val="af5"/>
        <w:rPr>
          <w:rFonts w:hAnsi="Calibri"/>
        </w:rPr>
      </w:pPr>
      <w:r>
        <w:rPr>
          <w:rFonts w:hint="eastAsia"/>
        </w:rPr>
        <w:lastRenderedPageBreak/>
        <w:t>水上旅游运输船舶应取得海事主管部门许可后方可开展夜</w:t>
      </w:r>
      <w:r w:rsidRPr="001E03A7">
        <w:rPr>
          <w:rFonts w:hint="eastAsia"/>
        </w:rPr>
        <w:t>航</w:t>
      </w:r>
      <w:r w:rsidR="00793B60" w:rsidRPr="001E03A7">
        <w:rPr>
          <w:rFonts w:hint="eastAsia"/>
        </w:rPr>
        <w:t>。</w:t>
      </w:r>
    </w:p>
    <w:p w:rsidR="00B513DC" w:rsidRDefault="0057285D">
      <w:pPr>
        <w:pStyle w:val="affffffffe"/>
        <w:ind w:left="0"/>
      </w:pPr>
      <w:r>
        <w:rPr>
          <w:rFonts w:hint="eastAsia"/>
        </w:rPr>
        <w:t>临时性开敞式码头浮动设施撤离：风力等级≥8级时应撤离至陆上固定或拖至避风港湾。</w:t>
      </w:r>
    </w:p>
    <w:p w:rsidR="00B513DC" w:rsidRDefault="0057285D">
      <w:pPr>
        <w:pStyle w:val="affd"/>
        <w:spacing w:before="156" w:after="156"/>
      </w:pPr>
      <w:r>
        <w:rPr>
          <w:rFonts w:hint="eastAsia"/>
        </w:rPr>
        <w:t>环境管理</w:t>
      </w:r>
    </w:p>
    <w:p w:rsidR="00B513DC" w:rsidRDefault="0057285D">
      <w:pPr>
        <w:pStyle w:val="affffffffe"/>
        <w:ind w:left="0"/>
      </w:pPr>
      <w:r>
        <w:rPr>
          <w:rFonts w:hint="eastAsia"/>
        </w:rPr>
        <w:t>码头上的生活垃圾和污水处置应符合相关国家标准。</w:t>
      </w:r>
    </w:p>
    <w:p w:rsidR="00B513DC" w:rsidRDefault="0057285D">
      <w:pPr>
        <w:pStyle w:val="affffffffe"/>
        <w:ind w:left="0"/>
      </w:pPr>
      <w:r>
        <w:rPr>
          <w:rFonts w:hint="eastAsia"/>
        </w:rPr>
        <w:t>船舶维修产生的机油、含油废水属于危险废物，码头应集中收集，不得随意排放，委托具备危险废物处置资质单位进行转移处理。</w:t>
      </w:r>
    </w:p>
    <w:p w:rsidR="00B513DC" w:rsidRDefault="0057285D">
      <w:pPr>
        <w:pStyle w:val="affffffffe"/>
        <w:ind w:left="0"/>
      </w:pPr>
      <w:r>
        <w:rPr>
          <w:rFonts w:hint="eastAsia"/>
        </w:rPr>
        <w:t>应注意维持码头环境卫生，及时清理散落的垃圾，定期转移处理码头生活垃圾。</w:t>
      </w:r>
    </w:p>
    <w:p w:rsidR="00B513DC" w:rsidRDefault="0057285D">
      <w:pPr>
        <w:pStyle w:val="affd"/>
        <w:spacing w:before="156" w:after="156"/>
      </w:pPr>
      <w:r>
        <w:rPr>
          <w:rFonts w:hint="eastAsia"/>
        </w:rPr>
        <w:t>设施设备管理</w:t>
      </w:r>
    </w:p>
    <w:p w:rsidR="00B513DC" w:rsidRDefault="0057285D">
      <w:pPr>
        <w:pStyle w:val="affffffffe"/>
        <w:ind w:left="0"/>
      </w:pPr>
      <w:r>
        <w:rPr>
          <w:rFonts w:hint="eastAsia"/>
        </w:rPr>
        <w:t>设施设备宜进行统一编号、统一管理 。</w:t>
      </w:r>
    </w:p>
    <w:p w:rsidR="00B513DC" w:rsidRDefault="0057285D">
      <w:pPr>
        <w:pStyle w:val="affffffffe"/>
        <w:ind w:left="0"/>
      </w:pPr>
      <w:r>
        <w:rPr>
          <w:rFonts w:hint="eastAsia"/>
        </w:rPr>
        <w:t>设施设备使用人员应进行日常检查，发现问题及时与相关人员联系处理。</w:t>
      </w:r>
    </w:p>
    <w:p w:rsidR="00B513DC" w:rsidRDefault="0057285D">
      <w:pPr>
        <w:pStyle w:val="affffffffe"/>
        <w:ind w:left="0"/>
      </w:pPr>
      <w:r>
        <w:rPr>
          <w:rFonts w:hint="eastAsia"/>
        </w:rPr>
        <w:t>应加强对码头设施设备的检查与维护，确保功能正常。包括码头水工结构和码头配套设施：</w:t>
      </w:r>
    </w:p>
    <w:p w:rsidR="00B513DC" w:rsidRDefault="0057285D">
      <w:pPr>
        <w:pStyle w:val="af5"/>
        <w:numPr>
          <w:ilvl w:val="0"/>
          <w:numId w:val="37"/>
        </w:numPr>
      </w:pPr>
      <w:r>
        <w:rPr>
          <w:rFonts w:hint="eastAsia"/>
        </w:rPr>
        <w:t>码头水工结构检测如下：</w:t>
      </w:r>
    </w:p>
    <w:p w:rsidR="00B513DC" w:rsidRDefault="0057285D">
      <w:pPr>
        <w:pStyle w:val="2"/>
      </w:pPr>
      <w:r>
        <w:rPr>
          <w:rFonts w:hint="eastAsia"/>
        </w:rPr>
        <w:t>应按现行标准JTS</w:t>
      </w:r>
      <w:r>
        <w:t xml:space="preserve"> </w:t>
      </w:r>
      <w:r>
        <w:rPr>
          <w:rFonts w:hint="eastAsia"/>
        </w:rPr>
        <w:t>310，委托具备检测资质单位对固定式码头、浮动设施进行定期检测，并对检测报告中提出的问题，应及时进行修复和处理；</w:t>
      </w:r>
    </w:p>
    <w:p w:rsidR="00B513DC" w:rsidRDefault="0057285D">
      <w:pPr>
        <w:pStyle w:val="2"/>
      </w:pPr>
      <w:r>
        <w:rPr>
          <w:rFonts w:hint="eastAsia"/>
        </w:rPr>
        <w:t>水上旅游运输码头的浮动设施应通过检验后方可使用</w:t>
      </w:r>
      <w:r>
        <w:rPr>
          <w:rFonts w:hAnsi="黑体" w:hint="eastAsia"/>
          <w:szCs w:val="52"/>
        </w:rPr>
        <w:t>,检验方法详见附录B</w:t>
      </w:r>
      <w:r>
        <w:rPr>
          <w:rFonts w:hint="eastAsia"/>
        </w:rPr>
        <w:t>；</w:t>
      </w:r>
    </w:p>
    <w:p w:rsidR="00B513DC" w:rsidRDefault="0057285D">
      <w:pPr>
        <w:pStyle w:val="2"/>
      </w:pPr>
      <w:r>
        <w:rPr>
          <w:rFonts w:hAnsi="黑体" w:hint="eastAsia"/>
          <w:szCs w:val="52"/>
        </w:rPr>
        <w:t>趸船应通过船级社入级管理。</w:t>
      </w:r>
    </w:p>
    <w:p w:rsidR="00B513DC" w:rsidRDefault="0057285D">
      <w:pPr>
        <w:pStyle w:val="af5"/>
      </w:pPr>
      <w:r>
        <w:rPr>
          <w:rFonts w:hint="eastAsia"/>
        </w:rPr>
        <w:t>码头配套设施的检查与检测如下：</w:t>
      </w:r>
    </w:p>
    <w:p w:rsidR="00B513DC" w:rsidRDefault="0057285D">
      <w:pPr>
        <w:pStyle w:val="2"/>
      </w:pPr>
      <w:r>
        <w:rPr>
          <w:rFonts w:hint="eastAsia"/>
        </w:rPr>
        <w:t>不定期对码头防雷装置进行检查；</w:t>
      </w:r>
    </w:p>
    <w:p w:rsidR="00B513DC" w:rsidRDefault="0057285D">
      <w:pPr>
        <w:pStyle w:val="2"/>
      </w:pPr>
      <w:r>
        <w:rPr>
          <w:rFonts w:hint="eastAsia"/>
        </w:rPr>
        <w:t>每年雷雨季节到来之前，应委托具备防雷检测资质单位对码头防雷和接地装置进行全面检测。</w:t>
      </w:r>
    </w:p>
    <w:p w:rsidR="00B513DC" w:rsidRDefault="0057285D">
      <w:pPr>
        <w:pStyle w:val="affd"/>
        <w:spacing w:before="156" w:after="156"/>
      </w:pPr>
      <w:r>
        <w:rPr>
          <w:rFonts w:hint="eastAsia"/>
        </w:rPr>
        <w:t xml:space="preserve">安全 </w:t>
      </w:r>
    </w:p>
    <w:p w:rsidR="00B513DC" w:rsidRDefault="0057285D">
      <w:pPr>
        <w:pStyle w:val="affe"/>
        <w:spacing w:before="156" w:after="156"/>
        <w:ind w:left="0"/>
      </w:pPr>
      <w:r>
        <w:rPr>
          <w:rFonts w:hint="eastAsia"/>
        </w:rPr>
        <w:t>日常安全运营管理</w:t>
      </w:r>
    </w:p>
    <w:p w:rsidR="00B513DC" w:rsidRDefault="0057285D">
      <w:pPr>
        <w:pStyle w:val="afff"/>
        <w:spacing w:before="156" w:after="156"/>
      </w:pPr>
      <w:r>
        <w:rPr>
          <w:rFonts w:hint="eastAsia"/>
        </w:rPr>
        <w:t>安全管理制度</w:t>
      </w:r>
    </w:p>
    <w:p w:rsidR="00B513DC" w:rsidRDefault="0057285D">
      <w:pPr>
        <w:pStyle w:val="afffffffff0"/>
        <w:ind w:left="0"/>
      </w:pPr>
      <w:r>
        <w:rPr>
          <w:rFonts w:hint="eastAsia"/>
        </w:rPr>
        <w:t>结合运营部门及岗位配备情况，制定全员安全生产责任制，各岗位人员应掌握本岗位安全职责。</w:t>
      </w:r>
    </w:p>
    <w:p w:rsidR="00B513DC" w:rsidRDefault="0057285D">
      <w:pPr>
        <w:pStyle w:val="afffffffff0"/>
        <w:ind w:left="0"/>
      </w:pPr>
      <w:r>
        <w:rPr>
          <w:rFonts w:hint="eastAsia"/>
        </w:rPr>
        <w:t>应当建立安全管理制度，主要包括：安全会议制度，安全运营资金投入管理制度，安全教育培训制度，安全检查制度，建设项目“三同时”管理制度，安全考核和奖惩制度，岗位标准化操作制度，危险作业管理制度，事故隐患排查治理制度，应急预案管理和演练制度，安全档案管理制度，消防管理制度。</w:t>
      </w:r>
    </w:p>
    <w:p w:rsidR="00B513DC" w:rsidRDefault="0057285D">
      <w:pPr>
        <w:pStyle w:val="afffffffff0"/>
        <w:ind w:left="0"/>
      </w:pPr>
      <w:r>
        <w:rPr>
          <w:rFonts w:hint="eastAsia"/>
        </w:rPr>
        <w:t>主要负责人和安全管理人员应严格落实码头各项安全管理制度，并督促相关部门和人员严格执行。</w:t>
      </w:r>
    </w:p>
    <w:p w:rsidR="00B513DC" w:rsidRDefault="0057285D">
      <w:pPr>
        <w:pStyle w:val="afffffffff0"/>
        <w:ind w:left="0"/>
      </w:pPr>
      <w:r>
        <w:rPr>
          <w:rFonts w:hint="eastAsia"/>
        </w:rPr>
        <w:t>应当结合实际运营情况，至少每三年对安全管理制度进行评估和修订。</w:t>
      </w:r>
    </w:p>
    <w:p w:rsidR="00B513DC" w:rsidRDefault="0057285D">
      <w:pPr>
        <w:pStyle w:val="afff"/>
        <w:spacing w:before="156" w:after="156"/>
      </w:pPr>
      <w:r>
        <w:rPr>
          <w:rFonts w:hint="eastAsia"/>
        </w:rPr>
        <w:t>旅客安检与安全秩序维持</w:t>
      </w:r>
    </w:p>
    <w:p w:rsidR="00B513DC" w:rsidRDefault="0057285D">
      <w:pPr>
        <w:pStyle w:val="afffffffff0"/>
        <w:ind w:left="0"/>
        <w:rPr>
          <w:kern w:val="2"/>
        </w:rPr>
      </w:pPr>
      <w:r>
        <w:rPr>
          <w:rFonts w:hint="eastAsia"/>
        </w:rPr>
        <w:t>应在码头陆域对旅客及随身行李进行安检。</w:t>
      </w:r>
    </w:p>
    <w:p w:rsidR="00B513DC" w:rsidRDefault="0057285D">
      <w:pPr>
        <w:pStyle w:val="afffffffff0"/>
        <w:ind w:left="0"/>
      </w:pPr>
      <w:r>
        <w:rPr>
          <w:rFonts w:hint="eastAsia"/>
        </w:rPr>
        <w:t>禁止旅客携带易燃、易爆、有毒、有腐蚀性、放射性和可能危及人身安全的危险物品登船。</w:t>
      </w:r>
    </w:p>
    <w:p w:rsidR="00B513DC" w:rsidRDefault="0057285D">
      <w:pPr>
        <w:pStyle w:val="afffffffff0"/>
        <w:ind w:left="0"/>
      </w:pPr>
      <w:r>
        <w:rPr>
          <w:rFonts w:hint="eastAsia"/>
        </w:rPr>
        <w:t>应维持好旅客上、下船秩序，优先下船旅客离开码头，浮动设施上人流不应多人并排行走，不应有人流方向冲突情况。</w:t>
      </w:r>
    </w:p>
    <w:p w:rsidR="00B513DC" w:rsidRDefault="0057285D">
      <w:pPr>
        <w:pStyle w:val="afffffffff0"/>
        <w:ind w:left="0"/>
      </w:pPr>
      <w:r>
        <w:rPr>
          <w:rFonts w:hint="eastAsia"/>
        </w:rPr>
        <w:t>旅客引导人员应注意码头上旅客的行为举止，对嬉戏打闹、私自停留堵塞通道、倚靠护栏</w:t>
      </w:r>
      <w:r>
        <w:rPr>
          <w:rFonts w:hint="eastAsia"/>
        </w:rPr>
        <w:lastRenderedPageBreak/>
        <w:t>等危险行为及时制止。</w:t>
      </w:r>
    </w:p>
    <w:p w:rsidR="00B513DC" w:rsidRDefault="0057285D">
      <w:pPr>
        <w:pStyle w:val="affe"/>
        <w:spacing w:before="156" w:after="156"/>
        <w:ind w:left="0"/>
      </w:pPr>
      <w:r>
        <w:rPr>
          <w:rFonts w:hint="eastAsia"/>
        </w:rPr>
        <w:t>码头检维修作业人员管理</w:t>
      </w:r>
    </w:p>
    <w:p w:rsidR="00B513DC" w:rsidRDefault="0057285D">
      <w:pPr>
        <w:pStyle w:val="affffffffd"/>
        <w:rPr>
          <w:kern w:val="2"/>
        </w:rPr>
      </w:pPr>
      <w:r>
        <w:rPr>
          <w:rFonts w:hint="eastAsia"/>
        </w:rPr>
        <w:t>应与外来施工单位签订安全管理协议，对外来施工人员进行作业前安全交底，确定作业区域和作业内容，告知作业过程中的安全风险、应采取的安全措施以及安全注意事项。</w:t>
      </w:r>
    </w:p>
    <w:p w:rsidR="00B513DC" w:rsidRDefault="0057285D">
      <w:pPr>
        <w:pStyle w:val="affffffffd"/>
      </w:pPr>
      <w:r>
        <w:rPr>
          <w:rFonts w:hint="eastAsia"/>
        </w:rPr>
        <w:t>应对外来施工单位携带的设备、工具进行检查，对从事特种作业人员的资格证进行核验。</w:t>
      </w:r>
    </w:p>
    <w:p w:rsidR="00B513DC" w:rsidRDefault="0057285D">
      <w:pPr>
        <w:pStyle w:val="affffffffd"/>
      </w:pPr>
      <w:r>
        <w:rPr>
          <w:rFonts w:hint="eastAsia"/>
        </w:rPr>
        <w:t>安全管理人员应对码头外来施工人员作业过程进行安全监督、检查。</w:t>
      </w:r>
    </w:p>
    <w:p w:rsidR="00B513DC" w:rsidRDefault="0057285D">
      <w:pPr>
        <w:pStyle w:val="affffffffd"/>
      </w:pPr>
      <w:r>
        <w:rPr>
          <w:rFonts w:hint="eastAsia"/>
        </w:rPr>
        <w:t>当外来施工作业涉及危险作业时，应履行运营单位的危险作业安全管理制度。</w:t>
      </w:r>
    </w:p>
    <w:p w:rsidR="00B513DC" w:rsidRDefault="0057285D">
      <w:pPr>
        <w:pStyle w:val="affe"/>
        <w:spacing w:before="156" w:after="156"/>
        <w:ind w:left="0"/>
      </w:pPr>
      <w:r>
        <w:rPr>
          <w:rFonts w:hint="eastAsia"/>
        </w:rPr>
        <w:t>安全检查</w:t>
      </w:r>
    </w:p>
    <w:p w:rsidR="00B513DC" w:rsidRDefault="0057285D">
      <w:pPr>
        <w:pStyle w:val="affffffffd"/>
      </w:pPr>
      <w:r>
        <w:rPr>
          <w:rFonts w:hint="eastAsia"/>
        </w:rPr>
        <w:t>定期对码头进行安全检查、检测和安全性评估，严格管控码头安全风险。</w:t>
      </w:r>
    </w:p>
    <w:p w:rsidR="00B513DC" w:rsidRDefault="0057285D">
      <w:pPr>
        <w:pStyle w:val="affffffffd"/>
      </w:pPr>
      <w:r>
        <w:rPr>
          <w:rFonts w:hint="eastAsia"/>
        </w:rPr>
        <w:t>每月由主要负责人组织相关部门管理人员、码头管理人员、安全管理人员对运营区域至少开展一次安全检查。</w:t>
      </w:r>
    </w:p>
    <w:p w:rsidR="00B513DC" w:rsidRDefault="0057285D">
      <w:pPr>
        <w:pStyle w:val="affffffffd"/>
      </w:pPr>
      <w:r>
        <w:rPr>
          <w:rFonts w:hAnsi="宋体" w:hint="eastAsia"/>
        </w:rPr>
        <w:t>安全管理责任部门每季度对码头开展一次安全专项检查，不局限于安全用电专项检查、消防设备专项检查、安全防护装置专项检查、救生设备专项检查等。</w:t>
      </w:r>
    </w:p>
    <w:p w:rsidR="00B513DC" w:rsidRDefault="0057285D">
      <w:pPr>
        <w:pStyle w:val="afff"/>
        <w:spacing w:before="156" w:after="156"/>
        <w:rPr>
          <w:rFonts w:ascii="宋体" w:eastAsia="宋体" w:hAnsi="宋体"/>
        </w:rPr>
      </w:pPr>
      <w:r>
        <w:rPr>
          <w:rFonts w:ascii="宋体" w:eastAsia="宋体" w:hAnsi="宋体" w:hint="eastAsia"/>
        </w:rPr>
        <w:t>安全管理人员应在码头每日运营前，对码头的、护栏、安全警示标志、消防设施、岸电设施、救生装备进行安全检查。</w:t>
      </w:r>
    </w:p>
    <w:p w:rsidR="00B513DC" w:rsidRDefault="0057285D">
      <w:pPr>
        <w:pStyle w:val="affffffffd"/>
      </w:pPr>
      <w:r>
        <w:rPr>
          <w:rFonts w:hint="eastAsia"/>
        </w:rPr>
        <w:t>应建立安全检查台账，如实记录查出的安全隐患，明确隐患整改措施、责任人、计划完成时间及整改确认情况。</w:t>
      </w:r>
    </w:p>
    <w:p w:rsidR="001E03A7" w:rsidRDefault="0057285D" w:rsidP="001E03A7">
      <w:pPr>
        <w:pStyle w:val="affffffffd"/>
      </w:pPr>
      <w:r>
        <w:rPr>
          <w:rFonts w:hint="eastAsia"/>
        </w:rPr>
        <w:t>各类安全检查发现的安全隐患应及时采取安全措施，当码头不具备安全运营条件时，应停止运营。</w:t>
      </w:r>
    </w:p>
    <w:p w:rsidR="00793B60" w:rsidRPr="001E03A7" w:rsidRDefault="00793B60" w:rsidP="001E03A7">
      <w:pPr>
        <w:pStyle w:val="affffffffd"/>
      </w:pPr>
      <w:r w:rsidRPr="001E03A7">
        <w:rPr>
          <w:rFonts w:hint="eastAsia"/>
          <w:color w:val="0070C0"/>
        </w:rPr>
        <w:t>在季节性停航本年度首次运营前，应对码头的安全通道、助航照明设施、安全警示标志、系缆装置等设备、设施进行全面的安全检查。</w:t>
      </w:r>
      <w:bookmarkStart w:id="44" w:name="_GoBack"/>
      <w:bookmarkEnd w:id="44"/>
    </w:p>
    <w:p w:rsidR="00B513DC" w:rsidRDefault="0057285D">
      <w:pPr>
        <w:pStyle w:val="affe"/>
        <w:spacing w:before="156" w:after="156"/>
        <w:ind w:left="0"/>
      </w:pPr>
      <w:r>
        <w:rPr>
          <w:rFonts w:hint="eastAsia"/>
        </w:rPr>
        <w:t>危险作业管理</w:t>
      </w:r>
    </w:p>
    <w:p w:rsidR="00B513DC" w:rsidRDefault="0057285D">
      <w:pPr>
        <w:pStyle w:val="affffffffd"/>
      </w:pPr>
      <w:r>
        <w:rPr>
          <w:rFonts w:hint="eastAsia"/>
        </w:rPr>
        <w:t>应当建立危险作业管理制度，码头动火、临时用电、登高检维修等危险作业应履行危险作业审批程序。</w:t>
      </w:r>
    </w:p>
    <w:p w:rsidR="00B513DC" w:rsidRDefault="0057285D">
      <w:pPr>
        <w:pStyle w:val="affffffffd"/>
      </w:pPr>
      <w:r>
        <w:rPr>
          <w:rFonts w:hint="eastAsia"/>
        </w:rPr>
        <w:t>危险作业应当明确作业主要负责人和安全监护人员，安全监护人员履行作业过程安全监护职责，不得私自脱岗。码头安全管理人员应对危险作业进行安全监管。</w:t>
      </w:r>
    </w:p>
    <w:p w:rsidR="00B513DC" w:rsidRDefault="0057285D">
      <w:pPr>
        <w:pStyle w:val="affffffffd"/>
      </w:pPr>
      <w:r>
        <w:rPr>
          <w:rFonts w:hint="eastAsia"/>
        </w:rPr>
        <w:t>码头运营期间进行危险作业时，应当划定危险作业区域影响范围，设置安全隔离措施，确保旅客不受到伤害。</w:t>
      </w:r>
    </w:p>
    <w:p w:rsidR="00B513DC" w:rsidRDefault="0057285D">
      <w:pPr>
        <w:pStyle w:val="affe"/>
        <w:spacing w:before="156" w:after="156"/>
        <w:ind w:left="0"/>
      </w:pPr>
      <w:r>
        <w:rPr>
          <w:rFonts w:hint="eastAsia"/>
        </w:rPr>
        <w:t>燃料补给安全要求</w:t>
      </w:r>
    </w:p>
    <w:p w:rsidR="00B513DC" w:rsidRDefault="0057285D">
      <w:pPr>
        <w:pStyle w:val="affffffffd"/>
        <w:rPr>
          <w:szCs w:val="21"/>
        </w:rPr>
      </w:pPr>
      <w:r>
        <w:rPr>
          <w:rFonts w:hint="eastAsia"/>
        </w:rPr>
        <w:t>水上旅游运输码头运营单位不得私自经营售卖燃油，应选</w:t>
      </w:r>
      <w:proofErr w:type="gramStart"/>
      <w:r>
        <w:rPr>
          <w:rFonts w:hint="eastAsia"/>
        </w:rPr>
        <w:t>择具备</w:t>
      </w:r>
      <w:proofErr w:type="gramEnd"/>
      <w:r>
        <w:rPr>
          <w:rFonts w:hint="eastAsia"/>
        </w:rPr>
        <w:t>成品油经营资质的单位作为码头燃油供应方。</w:t>
      </w:r>
    </w:p>
    <w:p w:rsidR="00B513DC" w:rsidRDefault="0057285D">
      <w:pPr>
        <w:pStyle w:val="affffffffd"/>
      </w:pPr>
      <w:r>
        <w:rPr>
          <w:rFonts w:hint="eastAsia"/>
        </w:rPr>
        <w:t>水上旅游运输码头运营单位应与燃油供应方签订安全管理协议，索取燃油供应方营业执照、危险化学品经营许可证、成品油经营许可证、道路运输经营许可证、车辆检测报告、操作人员从业资格证等资料存档。</w:t>
      </w:r>
    </w:p>
    <w:p w:rsidR="00B513DC" w:rsidRDefault="0057285D">
      <w:pPr>
        <w:pStyle w:val="affffffffd"/>
      </w:pPr>
      <w:r>
        <w:rPr>
          <w:rFonts w:hint="eastAsia"/>
        </w:rPr>
        <w:t>应当对燃油补给作业区、燃油补给设施、燃油补给作业行为进行危险、有害因素辨识、评估，制定加注作业方案。</w:t>
      </w:r>
    </w:p>
    <w:p w:rsidR="00B513DC" w:rsidRDefault="0057285D">
      <w:pPr>
        <w:pStyle w:val="affffffffd"/>
      </w:pPr>
      <w:r>
        <w:rPr>
          <w:rFonts w:hint="eastAsia"/>
        </w:rPr>
        <w:t>码头加油泊位的选择应注意以下方面：</w:t>
      </w:r>
    </w:p>
    <w:p w:rsidR="00B513DC" w:rsidRDefault="0057285D">
      <w:pPr>
        <w:pStyle w:val="af5"/>
        <w:numPr>
          <w:ilvl w:val="0"/>
          <w:numId w:val="38"/>
        </w:numPr>
      </w:pPr>
      <w:r>
        <w:rPr>
          <w:rFonts w:hint="eastAsia"/>
        </w:rPr>
        <w:t>泊位尺寸及配套设施应兼顾有燃油补给需求的船型；</w:t>
      </w:r>
    </w:p>
    <w:p w:rsidR="00B513DC" w:rsidRDefault="0057285D">
      <w:pPr>
        <w:pStyle w:val="af5"/>
      </w:pPr>
      <w:r>
        <w:rPr>
          <w:rFonts w:hint="eastAsia"/>
        </w:rPr>
        <w:lastRenderedPageBreak/>
        <w:t>泊位和任何可能的明火源或散发火花地点的最小距离不得小于18</w:t>
      </w:r>
      <w:r>
        <w:rPr>
          <w:rFonts w:ascii="MS Gothic" w:eastAsia="MS Gothic" w:hAnsi="MS Gothic" w:cs="MS Gothic" w:hint="eastAsia"/>
        </w:rPr>
        <w:t> </w:t>
      </w:r>
      <w:r>
        <w:rPr>
          <w:rFonts w:hint="eastAsia"/>
        </w:rPr>
        <w:t>m。</w:t>
      </w:r>
    </w:p>
    <w:p w:rsidR="00B513DC" w:rsidRDefault="0057285D">
      <w:pPr>
        <w:pStyle w:val="affffffffd"/>
      </w:pPr>
      <w:r>
        <w:rPr>
          <w:rFonts w:hint="eastAsia"/>
        </w:rPr>
        <w:t>当船舶需要燃油补给时，应联系燃油供应方委派专用燃油运输车辆和专业操作人员到码头进行船舶燃油补给，燃油补给应由随车操作人员进行操作。</w:t>
      </w:r>
    </w:p>
    <w:p w:rsidR="00B513DC" w:rsidRDefault="0057285D">
      <w:pPr>
        <w:pStyle w:val="affffffffd"/>
      </w:pPr>
      <w:r>
        <w:rPr>
          <w:rFonts w:hint="eastAsia"/>
        </w:rPr>
        <w:t>仅设置浮动设施的码头，可采用手提式油箱给船舶加油形式，并应满足以下要求：</w:t>
      </w:r>
    </w:p>
    <w:p w:rsidR="00B513DC" w:rsidRDefault="0057285D">
      <w:pPr>
        <w:pStyle w:val="af5"/>
        <w:numPr>
          <w:ilvl w:val="0"/>
          <w:numId w:val="39"/>
        </w:numPr>
      </w:pPr>
      <w:r>
        <w:rPr>
          <w:rFonts w:hint="eastAsia"/>
        </w:rPr>
        <w:t>应委托具备成品油运输资质的单位使用专用车辆运输手提式油箱；</w:t>
      </w:r>
    </w:p>
    <w:p w:rsidR="00B513DC" w:rsidRDefault="0057285D">
      <w:pPr>
        <w:pStyle w:val="af5"/>
      </w:pPr>
      <w:r>
        <w:rPr>
          <w:rFonts w:hint="eastAsia"/>
        </w:rPr>
        <w:t>应使用专用的手提式油箱；</w:t>
      </w:r>
    </w:p>
    <w:p w:rsidR="00B513DC" w:rsidRDefault="0057285D">
      <w:pPr>
        <w:pStyle w:val="af5"/>
      </w:pPr>
      <w:r>
        <w:rPr>
          <w:rFonts w:hint="eastAsia"/>
        </w:rPr>
        <w:t>应指定一个加油泊位，且尽量远离周边泊位；</w:t>
      </w:r>
    </w:p>
    <w:p w:rsidR="00B513DC" w:rsidRDefault="0057285D">
      <w:pPr>
        <w:pStyle w:val="af5"/>
      </w:pPr>
      <w:r>
        <w:rPr>
          <w:rFonts w:hint="eastAsia"/>
        </w:rPr>
        <w:t>码头不应存放手提式油箱，燃油补给作业完成后及时撤离空油箱；</w:t>
      </w:r>
    </w:p>
    <w:p w:rsidR="00B513DC" w:rsidRDefault="0057285D">
      <w:pPr>
        <w:pStyle w:val="af5"/>
      </w:pPr>
      <w:r>
        <w:rPr>
          <w:rFonts w:hint="eastAsia"/>
        </w:rPr>
        <w:t>操作作业人员穿着不产生静电的服装。</w:t>
      </w:r>
    </w:p>
    <w:p w:rsidR="00B513DC" w:rsidRDefault="0057285D">
      <w:pPr>
        <w:pStyle w:val="affffffffd"/>
      </w:pPr>
      <w:r>
        <w:rPr>
          <w:rFonts w:hint="eastAsia"/>
        </w:rPr>
        <w:t>燃油补给作业不应安排在码头运营时间范围内。应在成品油运输车到达前，集结船舶，依次完成燃油补给。</w:t>
      </w:r>
    </w:p>
    <w:p w:rsidR="00B513DC" w:rsidRDefault="0057285D">
      <w:pPr>
        <w:pStyle w:val="affffffffd"/>
      </w:pPr>
      <w:r>
        <w:rPr>
          <w:rFonts w:hint="eastAsia"/>
        </w:rPr>
        <w:t>燃油补给过程中，应当指派专人全程监护，监护人员应当具备燃油相关事故方面的应急知识和能力。</w:t>
      </w:r>
    </w:p>
    <w:p w:rsidR="00B513DC" w:rsidRDefault="0057285D">
      <w:pPr>
        <w:pStyle w:val="affd"/>
        <w:spacing w:before="156" w:after="156"/>
      </w:pPr>
      <w:r>
        <w:rPr>
          <w:rFonts w:hint="eastAsia"/>
        </w:rPr>
        <w:t>消防与应急</w:t>
      </w:r>
    </w:p>
    <w:p w:rsidR="00B513DC" w:rsidRDefault="0057285D">
      <w:pPr>
        <w:pStyle w:val="affe"/>
        <w:spacing w:before="156" w:after="156"/>
        <w:ind w:left="0"/>
      </w:pPr>
      <w:r>
        <w:rPr>
          <w:rFonts w:hint="eastAsia"/>
        </w:rPr>
        <w:t>消防</w:t>
      </w:r>
    </w:p>
    <w:p w:rsidR="00B513DC" w:rsidRDefault="0057285D">
      <w:pPr>
        <w:pStyle w:val="affffffffd"/>
      </w:pPr>
      <w:r>
        <w:rPr>
          <w:rFonts w:hint="eastAsia"/>
        </w:rPr>
        <w:t>露天</w:t>
      </w:r>
      <w:r>
        <w:rPr>
          <w:rFonts w:hAnsi="黑体" w:hint="eastAsia"/>
          <w:szCs w:val="52"/>
        </w:rPr>
        <w:t>消防设施应注意防潮、防晒，消防设施损坏或失效时，应及时进行维修和更换。</w:t>
      </w:r>
      <w:r>
        <w:t xml:space="preserve"> </w:t>
      </w:r>
    </w:p>
    <w:p w:rsidR="00B513DC" w:rsidRDefault="0057285D">
      <w:pPr>
        <w:pStyle w:val="affffffffd"/>
      </w:pPr>
      <w:r>
        <w:rPr>
          <w:rFonts w:hint="eastAsia"/>
        </w:rPr>
        <w:t>出现以下情形，灭火器应做报废处理：</w:t>
      </w:r>
    </w:p>
    <w:p w:rsidR="00B513DC" w:rsidRDefault="0057285D">
      <w:pPr>
        <w:pStyle w:val="af5"/>
        <w:numPr>
          <w:ilvl w:val="0"/>
          <w:numId w:val="40"/>
        </w:numPr>
      </w:pPr>
      <w:r>
        <w:rPr>
          <w:rFonts w:hint="eastAsia"/>
        </w:rPr>
        <w:t>当灭火器出现筒体锈蚀面积大于或等于筒体总表面积的1/3，表面有凹坑；</w:t>
      </w:r>
    </w:p>
    <w:p w:rsidR="00B513DC" w:rsidRDefault="0057285D">
      <w:pPr>
        <w:pStyle w:val="af5"/>
      </w:pPr>
      <w:r>
        <w:rPr>
          <w:rFonts w:hint="eastAsia"/>
        </w:rPr>
        <w:t>筒</w:t>
      </w:r>
      <w:proofErr w:type="gramStart"/>
      <w:r>
        <w:rPr>
          <w:rFonts w:hint="eastAsia"/>
        </w:rPr>
        <w:t>体明显</w:t>
      </w:r>
      <w:proofErr w:type="gramEnd"/>
      <w:r>
        <w:rPr>
          <w:rFonts w:hint="eastAsia"/>
        </w:rPr>
        <w:t>变形，机械损伤严重；器</w:t>
      </w:r>
      <w:proofErr w:type="gramStart"/>
      <w:r>
        <w:rPr>
          <w:rFonts w:hint="eastAsia"/>
        </w:rPr>
        <w:t>头存在</w:t>
      </w:r>
      <w:proofErr w:type="gramEnd"/>
      <w:r>
        <w:rPr>
          <w:rFonts w:hint="eastAsia"/>
        </w:rPr>
        <w:t>裂纹、无泄压机构；</w:t>
      </w:r>
    </w:p>
    <w:p w:rsidR="00B513DC" w:rsidRDefault="0057285D">
      <w:pPr>
        <w:pStyle w:val="af5"/>
      </w:pPr>
      <w:r>
        <w:rPr>
          <w:rFonts w:hint="eastAsia"/>
        </w:rPr>
        <w:t>没有间歇喷射机构的手提式灭火器；</w:t>
      </w:r>
    </w:p>
    <w:p w:rsidR="00B513DC" w:rsidRDefault="0057285D">
      <w:pPr>
        <w:pStyle w:val="af5"/>
      </w:pPr>
      <w:r>
        <w:rPr>
          <w:rFonts w:hint="eastAsia"/>
        </w:rPr>
        <w:t>不能确认生产单位名称和出厂时间，包括铭牌脱落，铭牌模糊、不能分辨生产单位名称，出厂时间钢印无法识别等；</w:t>
      </w:r>
    </w:p>
    <w:p w:rsidR="00B513DC" w:rsidRDefault="0057285D">
      <w:pPr>
        <w:pStyle w:val="af5"/>
      </w:pPr>
      <w:r>
        <w:rPr>
          <w:rFonts w:hint="eastAsia"/>
        </w:rPr>
        <w:t>出厂时间达到或超过最大报废期限的。</w:t>
      </w:r>
    </w:p>
    <w:p w:rsidR="00B513DC" w:rsidRDefault="0057285D">
      <w:pPr>
        <w:pStyle w:val="affe"/>
        <w:spacing w:before="156" w:after="156"/>
        <w:ind w:left="0"/>
      </w:pPr>
      <w:r>
        <w:rPr>
          <w:rFonts w:hint="eastAsia"/>
        </w:rPr>
        <w:t>应急</w:t>
      </w:r>
    </w:p>
    <w:p w:rsidR="00B513DC" w:rsidRDefault="0057285D">
      <w:pPr>
        <w:pStyle w:val="afff"/>
        <w:spacing w:before="156" w:after="156"/>
      </w:pPr>
      <w:r>
        <w:rPr>
          <w:rFonts w:hAnsi="黑体"/>
          <w:szCs w:val="52"/>
        </w:rPr>
        <w:t>应</w:t>
      </w:r>
      <w:r>
        <w:rPr>
          <w:rFonts w:hint="eastAsia"/>
        </w:rPr>
        <w:t>急预案</w:t>
      </w:r>
    </w:p>
    <w:p w:rsidR="00B513DC" w:rsidRDefault="0057285D">
      <w:pPr>
        <w:pStyle w:val="afffffffff0"/>
        <w:ind w:left="0"/>
      </w:pPr>
      <w:r>
        <w:rPr>
          <w:rFonts w:hint="eastAsia"/>
        </w:rPr>
        <w:t>应针对码头可能发生的火灾、触电、人员落水、拥挤踩踏、船舶碰撞、燃油泄漏等突发事件制定应急预案。</w:t>
      </w:r>
    </w:p>
    <w:p w:rsidR="00B5081D" w:rsidRDefault="0057285D" w:rsidP="00B5081D">
      <w:pPr>
        <w:pStyle w:val="afffffffff0"/>
        <w:ind w:left="0"/>
      </w:pPr>
      <w:r>
        <w:rPr>
          <w:rFonts w:hint="eastAsia"/>
        </w:rPr>
        <w:t>泊位数量不超过8个，从业人员不超过10人的，根据可能发生的突发事件类型，可只编制现场处置方案，其它范围之外的码头均应根据可能发生的突发事件类型，制定综合应急预案、专项应急预案和现场处置方案，应急预案应当与上位预案相衔接。</w:t>
      </w:r>
    </w:p>
    <w:p w:rsidR="004264FC" w:rsidRPr="00B5081D" w:rsidRDefault="00B5081D" w:rsidP="00B5081D">
      <w:pPr>
        <w:pStyle w:val="afffffffff0"/>
        <w:ind w:left="0"/>
      </w:pPr>
      <w:r w:rsidRPr="00B5081D">
        <w:rPr>
          <w:rFonts w:hint="eastAsia"/>
          <w:color w:val="0070C0"/>
        </w:rPr>
        <w:t>有夜航需求的水上旅游运输码头，应制</w:t>
      </w:r>
      <w:proofErr w:type="gramStart"/>
      <w:r w:rsidRPr="00B5081D">
        <w:rPr>
          <w:rFonts w:hint="eastAsia"/>
          <w:color w:val="0070C0"/>
        </w:rPr>
        <w:t>定完善</w:t>
      </w:r>
      <w:proofErr w:type="gramEnd"/>
      <w:r w:rsidRPr="00B5081D">
        <w:rPr>
          <w:rFonts w:hint="eastAsia"/>
          <w:color w:val="0070C0"/>
        </w:rPr>
        <w:t>的夜航管理制度和应急预案</w:t>
      </w:r>
      <w:r>
        <w:rPr>
          <w:rFonts w:hint="eastAsia"/>
          <w:color w:val="0070C0"/>
        </w:rPr>
        <w:t>。</w:t>
      </w:r>
    </w:p>
    <w:p w:rsidR="00B513DC" w:rsidRDefault="0057285D">
      <w:pPr>
        <w:pStyle w:val="afffffffff0"/>
        <w:ind w:left="0"/>
      </w:pPr>
      <w:r>
        <w:rPr>
          <w:rFonts w:hint="eastAsia"/>
        </w:rPr>
        <w:t>应急预案内容应符合GB</w:t>
      </w:r>
      <w:r>
        <w:t xml:space="preserve"> </w:t>
      </w:r>
      <w:r>
        <w:rPr>
          <w:rFonts w:hint="eastAsia"/>
        </w:rPr>
        <w:t>29639的编写要求。</w:t>
      </w:r>
    </w:p>
    <w:p w:rsidR="00B513DC" w:rsidRDefault="0057285D">
      <w:pPr>
        <w:pStyle w:val="afffffffff0"/>
        <w:ind w:left="0"/>
      </w:pPr>
      <w:r>
        <w:rPr>
          <w:rFonts w:hint="eastAsia"/>
        </w:rPr>
        <w:t>应急预案应每三年进行一次修订。当应急预案无法满足码头实际应急需求时，应当及时进行修改或重新修订。</w:t>
      </w:r>
    </w:p>
    <w:p w:rsidR="00B513DC" w:rsidRDefault="0057285D">
      <w:pPr>
        <w:pStyle w:val="afff"/>
        <w:spacing w:before="156" w:after="156"/>
      </w:pPr>
      <w:r>
        <w:rPr>
          <w:rFonts w:hint="eastAsia"/>
        </w:rPr>
        <w:t>应急演练</w:t>
      </w:r>
    </w:p>
    <w:p w:rsidR="00B513DC" w:rsidRDefault="0057285D">
      <w:pPr>
        <w:pStyle w:val="afffffffff0"/>
        <w:ind w:left="0"/>
      </w:pPr>
      <w:r>
        <w:rPr>
          <w:rFonts w:hint="eastAsia"/>
        </w:rPr>
        <w:t>每年至少组织一次综合应急预案或专项应急预案演练，每半年至少组织一次现场处置方案演练，参演的应急指挥人员、应急处置人员应当熟悉应急预案内容，掌握本岗位的应急职责。</w:t>
      </w:r>
    </w:p>
    <w:p w:rsidR="00B513DC" w:rsidRDefault="0057285D">
      <w:pPr>
        <w:pStyle w:val="afffffffff0"/>
        <w:ind w:left="0"/>
      </w:pPr>
      <w:r>
        <w:rPr>
          <w:rFonts w:hint="eastAsia"/>
        </w:rPr>
        <w:t>每次演练完成后，应对应急演练效果进行评估，根据评估结果修订、完善应急预案。</w:t>
      </w:r>
    </w:p>
    <w:p w:rsidR="00B513DC" w:rsidRDefault="0057285D">
      <w:pPr>
        <w:pStyle w:val="afffffffff0"/>
        <w:ind w:left="0"/>
      </w:pPr>
      <w:r>
        <w:rPr>
          <w:rFonts w:hint="eastAsia"/>
        </w:rPr>
        <w:t>应保留应急演练过程的影像资料、应急演练记录和评估结果。</w:t>
      </w:r>
    </w:p>
    <w:p w:rsidR="00B513DC" w:rsidRDefault="0057285D">
      <w:pPr>
        <w:pStyle w:val="afff"/>
        <w:spacing w:before="156" w:after="156"/>
      </w:pPr>
      <w:r>
        <w:rPr>
          <w:rFonts w:hint="eastAsia"/>
        </w:rPr>
        <w:lastRenderedPageBreak/>
        <w:t>应急处置与疏散</w:t>
      </w:r>
    </w:p>
    <w:p w:rsidR="00B513DC" w:rsidRDefault="0057285D">
      <w:pPr>
        <w:pStyle w:val="afffffffff0"/>
        <w:ind w:left="0"/>
      </w:pPr>
      <w:r>
        <w:rPr>
          <w:rFonts w:hint="eastAsia"/>
        </w:rPr>
        <w:t>当发生事故时，应立即按照应急预案启动应急程序，及时向上级主管单位报告事故情况，快速组织事故现场的救援和疏散工作。</w:t>
      </w:r>
    </w:p>
    <w:p w:rsidR="00B513DC" w:rsidRDefault="0057285D">
      <w:pPr>
        <w:pStyle w:val="afffffffff0"/>
        <w:ind w:left="0"/>
      </w:pPr>
      <w:r>
        <w:rPr>
          <w:rFonts w:hint="eastAsia"/>
        </w:rPr>
        <w:t>当超出自身应急处置能力范围时，应及时向社会应急力量求救，并配合做好应急处置工作。</w:t>
      </w:r>
    </w:p>
    <w:p w:rsidR="00B513DC" w:rsidRDefault="0057285D">
      <w:pPr>
        <w:pStyle w:val="afffffffff0"/>
        <w:ind w:left="0"/>
      </w:pPr>
      <w:r>
        <w:rPr>
          <w:rFonts w:hint="eastAsia"/>
        </w:rPr>
        <w:t>当码头发生火灾事故时，应迅速组织灭火，及时疏散周边人员，避免发生人员拥堵、踩踏、落水等事故，优先保护好儿童、老人和残疾人的疏散安全，必要时还应考虑利用船舶从海上疏散受困人员。</w:t>
      </w:r>
    </w:p>
    <w:p w:rsidR="00B513DC" w:rsidRDefault="0057285D">
      <w:pPr>
        <w:pStyle w:val="afffffffff0"/>
        <w:ind w:left="0"/>
      </w:pPr>
      <w:r>
        <w:rPr>
          <w:rFonts w:hint="eastAsia"/>
        </w:rPr>
        <w:t>码头泊位或船舶上发生火灾时，除疏散周边人员外，还应疏散周边泊位上的船舶，防止火势蔓延造成相邻船舶受损。</w:t>
      </w:r>
    </w:p>
    <w:p w:rsidR="00B513DC" w:rsidRDefault="0057285D">
      <w:pPr>
        <w:pStyle w:val="afffffffff0"/>
        <w:ind w:left="0"/>
      </w:pPr>
      <w:r>
        <w:rPr>
          <w:rFonts w:hint="eastAsia"/>
        </w:rPr>
        <w:t>应急处置结束后，应保护好事故现场，接受上级主管单位的调查。</w:t>
      </w:r>
    </w:p>
    <w:p w:rsidR="00B513DC" w:rsidRDefault="0057285D">
      <w:pPr>
        <w:pStyle w:val="affd"/>
        <w:spacing w:before="156" w:after="156"/>
      </w:pPr>
      <w:r>
        <w:rPr>
          <w:rFonts w:hint="eastAsia"/>
        </w:rPr>
        <w:t>档案管理</w:t>
      </w:r>
    </w:p>
    <w:p w:rsidR="00B513DC" w:rsidRDefault="0057285D">
      <w:pPr>
        <w:pStyle w:val="affffffffe"/>
        <w:ind w:left="0"/>
      </w:pPr>
      <w:r>
        <w:rPr>
          <w:rFonts w:hint="eastAsia"/>
        </w:rPr>
        <w:t>应将码头建设初期的立项备案文件，海域使用权、土地使用权相关文件，码头设计文件，码头安全、环保、职业卫生评价报告进行分类建档管理并长期保存。</w:t>
      </w:r>
    </w:p>
    <w:p w:rsidR="00B513DC" w:rsidRDefault="0057285D">
      <w:pPr>
        <w:pStyle w:val="affffffffe"/>
        <w:ind w:left="0"/>
      </w:pPr>
      <w:r>
        <w:rPr>
          <w:rFonts w:hint="eastAsia"/>
        </w:rPr>
        <w:t>应当建立安全档案管理制度，将日常的安全会议、安全培训、安全检查与检测、应急演练、事故档案的记录、报告、凭证等资料整理后及时分类归档。</w:t>
      </w:r>
    </w:p>
    <w:p w:rsidR="00B513DC" w:rsidRDefault="0057285D">
      <w:pPr>
        <w:pStyle w:val="affffffffe"/>
        <w:ind w:left="0"/>
      </w:pPr>
      <w:r>
        <w:rPr>
          <w:rFonts w:hint="eastAsia"/>
        </w:rPr>
        <w:t>应当委派专人负责安全档案的归档、更新和维护。</w:t>
      </w:r>
    </w:p>
    <w:p w:rsidR="00B513DC" w:rsidRDefault="0057285D">
      <w:pPr>
        <w:pStyle w:val="affffffffe"/>
        <w:ind w:left="0"/>
      </w:pPr>
      <w:r>
        <w:rPr>
          <w:rFonts w:hint="eastAsia"/>
        </w:rPr>
        <w:t>档案的调阅应有记录，限定调阅时限，不得损坏、遗失档案。</w:t>
      </w:r>
    </w:p>
    <w:p w:rsidR="00B513DC" w:rsidRDefault="0057285D">
      <w:pPr>
        <w:pStyle w:val="affc"/>
        <w:spacing w:before="312" w:after="312"/>
        <w:rPr>
          <w:kern w:val="2"/>
          <w:szCs w:val="21"/>
        </w:rPr>
      </w:pPr>
      <w:r>
        <w:rPr>
          <w:rFonts w:hint="eastAsia"/>
        </w:rPr>
        <w:t>监督、评价与改进</w:t>
      </w:r>
    </w:p>
    <w:p w:rsidR="00B513DC" w:rsidRDefault="0057285D">
      <w:pPr>
        <w:pStyle w:val="affd"/>
        <w:spacing w:before="156" w:after="156"/>
      </w:pPr>
      <w:r>
        <w:rPr>
          <w:rFonts w:hint="eastAsia"/>
        </w:rPr>
        <w:t>监督与评价</w:t>
      </w:r>
    </w:p>
    <w:p w:rsidR="00B513DC" w:rsidRDefault="0057285D">
      <w:pPr>
        <w:pStyle w:val="affffffffe"/>
        <w:ind w:left="0"/>
      </w:pPr>
      <w:r>
        <w:rPr>
          <w:rFonts w:hint="eastAsia"/>
        </w:rPr>
        <w:t>监督方式包括但不限于日常巡查、专项督查、视频监控、投诉处置、明察暗访。</w:t>
      </w:r>
    </w:p>
    <w:p w:rsidR="00B513DC" w:rsidRDefault="0057285D">
      <w:pPr>
        <w:pStyle w:val="affffffffe"/>
        <w:ind w:left="0"/>
      </w:pPr>
      <w:r>
        <w:rPr>
          <w:rFonts w:hint="eastAsia"/>
        </w:rPr>
        <w:t>水上旅游运输码头经营单位应自觉接受相关部门的检</w:t>
      </w:r>
      <w:proofErr w:type="gramStart"/>
      <w:r>
        <w:rPr>
          <w:rFonts w:hint="eastAsia"/>
        </w:rPr>
        <w:t>査</w:t>
      </w:r>
      <w:proofErr w:type="gramEnd"/>
      <w:r>
        <w:rPr>
          <w:rFonts w:hint="eastAsia"/>
        </w:rPr>
        <w:t>和群众的监督，主动公开市民建议和诉求渠道；对监督中发现的问题以及投诉问题，应及时调查、核实、处理，持续提升服务质量。</w:t>
      </w:r>
    </w:p>
    <w:p w:rsidR="00B513DC" w:rsidRDefault="0057285D">
      <w:pPr>
        <w:pStyle w:val="affffffffe"/>
        <w:ind w:left="0"/>
      </w:pPr>
      <w:r>
        <w:rPr>
          <w:rFonts w:hint="eastAsia"/>
        </w:rPr>
        <w:t>可采用自我评价、服务满意度评价、第三方测评等方式开展。</w:t>
      </w:r>
    </w:p>
    <w:p w:rsidR="00B513DC" w:rsidRDefault="0057285D">
      <w:pPr>
        <w:pStyle w:val="affffffffe"/>
        <w:ind w:left="0"/>
      </w:pPr>
      <w:r>
        <w:rPr>
          <w:rFonts w:hint="eastAsia"/>
        </w:rPr>
        <w:t>水上旅游运输码头经营单位应对环境卫生、服务管理、安全管理等内容每周开展至少一次巡查检查，每月至少开展一次综合评价，评价内容详见附录</w:t>
      </w:r>
      <w:r>
        <w:t>表</w:t>
      </w:r>
      <w:r>
        <w:rPr>
          <w:rFonts w:hint="eastAsia"/>
        </w:rPr>
        <w:t>C</w:t>
      </w:r>
      <w:r>
        <w:t>.1</w:t>
      </w:r>
      <w:r>
        <w:rPr>
          <w:rFonts w:hint="eastAsia"/>
        </w:rPr>
        <w:t>。</w:t>
      </w:r>
    </w:p>
    <w:p w:rsidR="00B513DC" w:rsidRDefault="0057285D">
      <w:pPr>
        <w:pStyle w:val="affd"/>
        <w:spacing w:before="156" w:after="156"/>
      </w:pPr>
      <w:r>
        <w:rPr>
          <w:rFonts w:hint="eastAsia"/>
        </w:rPr>
        <w:t>改进</w:t>
      </w:r>
    </w:p>
    <w:p w:rsidR="00B513DC" w:rsidRDefault="0057285D">
      <w:pPr>
        <w:pStyle w:val="affffffffe"/>
        <w:ind w:left="0"/>
      </w:pPr>
      <w:r>
        <w:rPr>
          <w:rFonts w:hint="eastAsia"/>
        </w:rPr>
        <w:t>根据监督检查结果，制定改进方案并持续改进。</w:t>
      </w:r>
    </w:p>
    <w:p w:rsidR="00B513DC" w:rsidRDefault="0057285D">
      <w:pPr>
        <w:pStyle w:val="affffffffe"/>
        <w:ind w:left="0"/>
      </w:pPr>
      <w:r>
        <w:rPr>
          <w:rFonts w:hint="eastAsia"/>
        </w:rPr>
        <w:t>水上旅游运输码头经营单位收集各方反馈信息，定期对建设管理工作进行总结，对需要改进的环节进行整改完善。</w:t>
      </w: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sectPr w:rsidR="00B513DC">
          <w:headerReference w:type="even" r:id="rId14"/>
          <w:headerReference w:type="default" r:id="rId15"/>
          <w:footerReference w:type="default" r:id="rId16"/>
          <w:pgSz w:w="11906" w:h="16838"/>
          <w:pgMar w:top="1928" w:right="1134" w:bottom="1134" w:left="1134" w:header="1418" w:footer="1134" w:gutter="284"/>
          <w:pgNumType w:start="1"/>
          <w:cols w:space="425"/>
          <w:formProt w:val="0"/>
          <w:docGrid w:type="lines" w:linePitch="312"/>
        </w:sectPr>
      </w:pPr>
    </w:p>
    <w:p w:rsidR="00B513DC" w:rsidRDefault="00B513DC">
      <w:pPr>
        <w:pStyle w:val="af8"/>
        <w:rPr>
          <w:vanish w:val="0"/>
        </w:rPr>
      </w:pPr>
      <w:bookmarkStart w:id="45" w:name="BookMark5"/>
      <w:bookmarkEnd w:id="22"/>
    </w:p>
    <w:p w:rsidR="00B513DC" w:rsidRDefault="00B513DC">
      <w:pPr>
        <w:pStyle w:val="afe"/>
        <w:rPr>
          <w:vanish w:val="0"/>
        </w:rPr>
      </w:pPr>
    </w:p>
    <w:p w:rsidR="00B513DC" w:rsidRDefault="0057285D">
      <w:pPr>
        <w:pStyle w:val="aff3"/>
        <w:spacing w:after="156"/>
      </w:pPr>
      <w:r>
        <w:br/>
      </w:r>
      <w:r>
        <w:rPr>
          <w:rFonts w:hint="eastAsia"/>
        </w:rPr>
        <w:t>（规范性）</w:t>
      </w:r>
      <w:r>
        <w:br/>
      </w:r>
      <w:r>
        <w:rPr>
          <w:rFonts w:hint="eastAsia"/>
        </w:rPr>
        <w:t>安全管理人员配备</w:t>
      </w:r>
    </w:p>
    <w:p w:rsidR="00B513DC" w:rsidRDefault="0057285D">
      <w:pPr>
        <w:pStyle w:val="aff4"/>
        <w:spacing w:before="156" w:after="156"/>
      </w:pPr>
      <w:r>
        <w:rPr>
          <w:rFonts w:hint="eastAsia"/>
        </w:rPr>
        <w:t>专兼职安全管理人员</w:t>
      </w:r>
    </w:p>
    <w:p w:rsidR="00B513DC" w:rsidRDefault="0057285D">
      <w:pPr>
        <w:pStyle w:val="affffffffff6"/>
      </w:pPr>
      <w:r>
        <w:rPr>
          <w:rFonts w:hint="eastAsia"/>
        </w:rPr>
        <w:t>当从业人员超过100人时，应当设置安全管理机构或者配备专职安全管理人员；当从业人员不超过100人时，应当配备专职或者兼职安全管理人员。</w:t>
      </w:r>
    </w:p>
    <w:p w:rsidR="00B513DC" w:rsidRDefault="0057285D">
      <w:pPr>
        <w:pStyle w:val="affffffffff6"/>
      </w:pPr>
      <w:r>
        <w:rPr>
          <w:rFonts w:hint="eastAsia"/>
        </w:rPr>
        <w:t>安全管理人员应经过专门的安全管理培训，并经过应急管理部门组织的安全知识和管理能力考核，取得相应资格证。</w:t>
      </w:r>
    </w:p>
    <w:p w:rsidR="00B513DC" w:rsidRDefault="0057285D">
      <w:pPr>
        <w:pStyle w:val="affffffffff6"/>
      </w:pPr>
      <w:r>
        <w:rPr>
          <w:rFonts w:hint="eastAsia"/>
        </w:rPr>
        <w:t>当同一运营单位拥有多处码头时，每个码头应配备1名码头安全管理员，负责各自码头的日常安全管理工作，码头安全管理员应取得相应资格证。</w:t>
      </w:r>
    </w:p>
    <w:p w:rsidR="00B513DC" w:rsidRDefault="0057285D">
      <w:pPr>
        <w:pStyle w:val="aff4"/>
        <w:spacing w:before="156" w:after="156"/>
      </w:pPr>
      <w:r>
        <w:rPr>
          <w:rFonts w:hint="eastAsia"/>
        </w:rPr>
        <w:t>安全相关岗位及人员配备</w:t>
      </w:r>
    </w:p>
    <w:p w:rsidR="00B513DC" w:rsidRDefault="0057285D">
      <w:pPr>
        <w:pStyle w:val="affffffffff6"/>
      </w:pPr>
      <w:r>
        <w:rPr>
          <w:rFonts w:hint="eastAsia"/>
        </w:rPr>
        <w:t>安全相关岗位包括但不限于旅客安检岗位、旅客救生衣发放岗位、旅客引导岗位、应急救援岗位、码头安全管理员岗位。</w:t>
      </w:r>
    </w:p>
    <w:p w:rsidR="00B513DC" w:rsidRDefault="0057285D">
      <w:pPr>
        <w:pStyle w:val="affffffffff6"/>
      </w:pPr>
      <w:r>
        <w:rPr>
          <w:rFonts w:hint="eastAsia"/>
        </w:rPr>
        <w:t>旅客引导岗位人员应根据旅客在码头上通行线路设置，主浮桥与支浮桥连接位置、登船口处均应设置引导人员；应急救援岗位应安排有水上应急救援经验的人员担任。</w:t>
      </w:r>
    </w:p>
    <w:p w:rsidR="00B513DC" w:rsidRDefault="0057285D">
      <w:pPr>
        <w:pStyle w:val="affffffffff6"/>
      </w:pPr>
      <w:r>
        <w:rPr>
          <w:rFonts w:hint="eastAsia"/>
        </w:rPr>
        <w:t>各安全相关岗位人员安排不应有冲突，岗位人员数量应满足以下要求：</w:t>
      </w:r>
    </w:p>
    <w:p w:rsidR="00B513DC" w:rsidRDefault="0057285D">
      <w:pPr>
        <w:pStyle w:val="af5"/>
        <w:numPr>
          <w:ilvl w:val="0"/>
          <w:numId w:val="41"/>
        </w:numPr>
      </w:pPr>
      <w:r>
        <w:rPr>
          <w:rFonts w:hint="eastAsia"/>
        </w:rPr>
        <w:t>旅客安检岗位人员在码头每个安检入口处至少安排1人；</w:t>
      </w:r>
    </w:p>
    <w:p w:rsidR="00B513DC" w:rsidRDefault="0057285D">
      <w:pPr>
        <w:pStyle w:val="af5"/>
      </w:pPr>
      <w:r>
        <w:rPr>
          <w:rFonts w:hint="eastAsia"/>
        </w:rPr>
        <w:t>旅客救生衣发放岗位人员在码头每个救生衣发放处至少安排1人；</w:t>
      </w:r>
    </w:p>
    <w:p w:rsidR="00B513DC" w:rsidRDefault="0057285D">
      <w:pPr>
        <w:pStyle w:val="af5"/>
      </w:pPr>
      <w:r>
        <w:rPr>
          <w:rFonts w:hint="eastAsia"/>
        </w:rPr>
        <w:t>旅客引导岗位人员应根据同一时段接待旅客量确定，当码头上同一时段内旅客量每超过50人，应增加1名旅客引导人员；</w:t>
      </w:r>
    </w:p>
    <w:p w:rsidR="00B513DC" w:rsidRDefault="0057285D">
      <w:pPr>
        <w:pStyle w:val="af5"/>
      </w:pPr>
      <w:r>
        <w:rPr>
          <w:rFonts w:hint="eastAsia"/>
        </w:rPr>
        <w:t>应急救援岗位人员应在码头运营期间至少应配置1人；</w:t>
      </w:r>
    </w:p>
    <w:p w:rsidR="00B513DC" w:rsidRDefault="0057285D">
      <w:pPr>
        <w:pStyle w:val="af5"/>
      </w:pPr>
      <w:r>
        <w:rPr>
          <w:rFonts w:hint="eastAsia"/>
        </w:rPr>
        <w:t>当码头前沿未设置候船厅、</w:t>
      </w:r>
      <w:proofErr w:type="gramStart"/>
      <w:r>
        <w:rPr>
          <w:rFonts w:hint="eastAsia"/>
        </w:rPr>
        <w:t>侯船围栏</w:t>
      </w:r>
      <w:proofErr w:type="gramEnd"/>
      <w:r>
        <w:rPr>
          <w:rFonts w:hint="eastAsia"/>
        </w:rPr>
        <w:t>等设施时，应安排1名人员维持旅客排队秩序，当旅客人数没超过100人，应增加1名维持秩序的人员。</w:t>
      </w:r>
    </w:p>
    <w:p w:rsidR="00B513DC" w:rsidRDefault="0057285D">
      <w:pPr>
        <w:pStyle w:val="affffffffff6"/>
      </w:pPr>
      <w:r>
        <w:rPr>
          <w:rFonts w:hint="eastAsia"/>
        </w:rPr>
        <w:t>码头的电气设备安装、检维修作业应委派取得电工作业资格证的人员从事。</w:t>
      </w:r>
    </w:p>
    <w:p w:rsidR="00B513DC" w:rsidRDefault="00B513DC">
      <w:pPr>
        <w:pStyle w:val="affffffffff6"/>
        <w:numPr>
          <w:ilvl w:val="0"/>
          <w:numId w:val="0"/>
        </w:numPr>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8"/>
        <w:rPr>
          <w:vanish w:val="0"/>
        </w:rPr>
      </w:pPr>
    </w:p>
    <w:p w:rsidR="00B513DC" w:rsidRDefault="00B513DC">
      <w:pPr>
        <w:pStyle w:val="afe"/>
        <w:rPr>
          <w:vanish w:val="0"/>
        </w:rPr>
      </w:pPr>
    </w:p>
    <w:p w:rsidR="00B513DC" w:rsidRDefault="0057285D">
      <w:pPr>
        <w:pStyle w:val="aff3"/>
        <w:spacing w:after="156"/>
      </w:pPr>
      <w:r>
        <w:lastRenderedPageBreak/>
        <w:br/>
      </w:r>
      <w:r>
        <w:rPr>
          <w:rFonts w:hint="eastAsia"/>
        </w:rPr>
        <w:t>（规范性）</w:t>
      </w:r>
      <w:r>
        <w:br/>
      </w:r>
      <w:r>
        <w:rPr>
          <w:rFonts w:hint="eastAsia"/>
        </w:rPr>
        <w:t>浮动设施检验标准</w:t>
      </w:r>
    </w:p>
    <w:p w:rsidR="00B513DC" w:rsidRDefault="0057285D">
      <w:pPr>
        <w:pStyle w:val="aff4"/>
        <w:spacing w:before="156" w:after="156"/>
        <w:rPr>
          <w:kern w:val="2"/>
          <w:szCs w:val="21"/>
        </w:rPr>
      </w:pPr>
      <w:r>
        <w:t>塑料浮箱</w:t>
      </w:r>
    </w:p>
    <w:p w:rsidR="00B513DC" w:rsidRDefault="0057285D">
      <w:pPr>
        <w:ind w:firstLine="480"/>
        <w:rPr>
          <w:rFonts w:ascii="宋体" w:hAnsi="宋体"/>
        </w:rPr>
      </w:pPr>
      <w:r>
        <w:rPr>
          <w:rFonts w:ascii="宋体" w:hAnsi="宋体"/>
        </w:rPr>
        <w:t>塑料浮箱外形尺寸允许偏差检验的规定应符合表</w:t>
      </w:r>
      <w:r>
        <w:rPr>
          <w:rFonts w:hint="eastAsia"/>
        </w:rPr>
        <w:t>B</w:t>
      </w:r>
      <w:r>
        <w:t>.1</w:t>
      </w:r>
      <w:r>
        <w:rPr>
          <w:rFonts w:ascii="宋体" w:hAnsi="宋体"/>
        </w:rPr>
        <w:t>的规定。</w:t>
      </w:r>
    </w:p>
    <w:p w:rsidR="00B513DC" w:rsidRDefault="0057285D">
      <w:pPr>
        <w:pStyle w:val="aff"/>
        <w:spacing w:before="156" w:after="156"/>
      </w:pPr>
      <w:r>
        <w:rPr>
          <w:rFonts w:hint="eastAsia"/>
        </w:rPr>
        <w:t>塑料浮箱外形尺寸允许偏差、检验数量和方法</w:t>
      </w:r>
    </w:p>
    <w:tbl>
      <w:tblPr>
        <w:tblStyle w:val="a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701"/>
        <w:gridCol w:w="1701"/>
        <w:gridCol w:w="1275"/>
        <w:gridCol w:w="1276"/>
        <w:gridCol w:w="2398"/>
      </w:tblGrid>
      <w:tr w:rsidR="00B513DC">
        <w:trPr>
          <w:tblHeader/>
          <w:jc w:val="center"/>
        </w:trPr>
        <w:tc>
          <w:tcPr>
            <w:tcW w:w="983" w:type="dxa"/>
            <w:tcBorders>
              <w:top w:val="single" w:sz="8" w:space="0" w:color="auto"/>
              <w:bottom w:val="single" w:sz="8" w:space="0" w:color="auto"/>
            </w:tcBorders>
            <w:shd w:val="clear" w:color="auto" w:fill="auto"/>
            <w:vAlign w:val="center"/>
          </w:tcPr>
          <w:p w:rsidR="00B513DC" w:rsidRDefault="0057285D">
            <w:pPr>
              <w:pStyle w:val="afffffffff6"/>
              <w:rPr>
                <w:rFonts w:hAnsi="宋体"/>
                <w:szCs w:val="18"/>
              </w:rPr>
            </w:pPr>
            <w:r>
              <w:rPr>
                <w:rFonts w:hAnsi="宋体" w:hint="eastAsia"/>
                <w:szCs w:val="18"/>
              </w:rPr>
              <w:t>序号</w:t>
            </w:r>
          </w:p>
        </w:tc>
        <w:tc>
          <w:tcPr>
            <w:tcW w:w="1701"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项目</w:t>
            </w:r>
          </w:p>
        </w:tc>
        <w:tc>
          <w:tcPr>
            <w:tcW w:w="1701"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允许偏差（mm）</w:t>
            </w:r>
          </w:p>
        </w:tc>
        <w:tc>
          <w:tcPr>
            <w:tcW w:w="1275"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检验数量</w:t>
            </w:r>
          </w:p>
        </w:tc>
        <w:tc>
          <w:tcPr>
            <w:tcW w:w="1276"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单元测点</w:t>
            </w:r>
          </w:p>
        </w:tc>
        <w:tc>
          <w:tcPr>
            <w:tcW w:w="2398"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检验方法</w:t>
            </w:r>
          </w:p>
        </w:tc>
      </w:tr>
      <w:tr w:rsidR="00B513DC">
        <w:trPr>
          <w:jc w:val="center"/>
        </w:trPr>
        <w:tc>
          <w:tcPr>
            <w:tcW w:w="983" w:type="dxa"/>
            <w:tcBorders>
              <w:top w:val="single" w:sz="8" w:space="0" w:color="auto"/>
            </w:tcBorders>
            <w:shd w:val="clear" w:color="auto" w:fill="auto"/>
            <w:vAlign w:val="center"/>
          </w:tcPr>
          <w:p w:rsidR="00B513DC" w:rsidRDefault="0057285D">
            <w:pPr>
              <w:pStyle w:val="afffffffff6"/>
              <w:rPr>
                <w:rFonts w:hAnsi="宋体"/>
                <w:szCs w:val="18"/>
              </w:rPr>
            </w:pPr>
            <w:r>
              <w:rPr>
                <w:rFonts w:hAnsi="宋体" w:hint="eastAsia"/>
                <w:szCs w:val="18"/>
              </w:rPr>
              <w:t>1</w:t>
            </w:r>
          </w:p>
        </w:tc>
        <w:tc>
          <w:tcPr>
            <w:tcW w:w="1701"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长度</w:t>
            </w:r>
          </w:p>
        </w:tc>
        <w:tc>
          <w:tcPr>
            <w:tcW w:w="1701"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±10</w:t>
            </w:r>
          </w:p>
        </w:tc>
        <w:tc>
          <w:tcPr>
            <w:tcW w:w="1275" w:type="dxa"/>
            <w:vMerge w:val="restart"/>
            <w:tcBorders>
              <w:top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同尺寸浮箱抽查10%且不少于3件</w:t>
            </w:r>
          </w:p>
        </w:tc>
        <w:tc>
          <w:tcPr>
            <w:tcW w:w="1276"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4</w:t>
            </w:r>
          </w:p>
        </w:tc>
        <w:tc>
          <w:tcPr>
            <w:tcW w:w="2398"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用钢尺测量顶面和底面</w:t>
            </w:r>
          </w:p>
        </w:tc>
      </w:tr>
      <w:tr w:rsidR="00B513DC">
        <w:trPr>
          <w:jc w:val="center"/>
        </w:trPr>
        <w:tc>
          <w:tcPr>
            <w:tcW w:w="983" w:type="dxa"/>
            <w:shd w:val="clear" w:color="auto" w:fill="auto"/>
            <w:vAlign w:val="center"/>
          </w:tcPr>
          <w:p w:rsidR="00B513DC" w:rsidRDefault="0057285D">
            <w:pPr>
              <w:pStyle w:val="afffffffff6"/>
              <w:rPr>
                <w:rFonts w:hAnsi="宋体"/>
                <w:szCs w:val="18"/>
              </w:rPr>
            </w:pPr>
            <w:r>
              <w:rPr>
                <w:rFonts w:hAnsi="宋体" w:hint="eastAsia"/>
                <w:szCs w:val="18"/>
              </w:rPr>
              <w:t>2</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宽度</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±10</w:t>
            </w:r>
          </w:p>
        </w:tc>
        <w:tc>
          <w:tcPr>
            <w:tcW w:w="1275" w:type="dxa"/>
            <w:vMerge/>
            <w:shd w:val="clear" w:color="auto" w:fill="auto"/>
            <w:vAlign w:val="center"/>
          </w:tcPr>
          <w:p w:rsidR="00B513DC" w:rsidRDefault="00B513DC">
            <w:pPr>
              <w:pStyle w:val="afffffffff6"/>
              <w:rPr>
                <w:rFonts w:hAnsi="宋体"/>
                <w:szCs w:val="18"/>
              </w:rPr>
            </w:pPr>
          </w:p>
        </w:tc>
        <w:tc>
          <w:tcPr>
            <w:tcW w:w="1276"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4</w:t>
            </w:r>
          </w:p>
        </w:tc>
        <w:tc>
          <w:tcPr>
            <w:tcW w:w="2398"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用钢尺测量顶面和底面</w:t>
            </w:r>
          </w:p>
        </w:tc>
      </w:tr>
      <w:tr w:rsidR="00B513DC">
        <w:trPr>
          <w:jc w:val="center"/>
        </w:trPr>
        <w:tc>
          <w:tcPr>
            <w:tcW w:w="983" w:type="dxa"/>
            <w:shd w:val="clear" w:color="auto" w:fill="auto"/>
            <w:vAlign w:val="center"/>
          </w:tcPr>
          <w:p w:rsidR="00B513DC" w:rsidRDefault="0057285D">
            <w:pPr>
              <w:pStyle w:val="afffffffff6"/>
              <w:rPr>
                <w:rFonts w:hAnsi="宋体"/>
                <w:szCs w:val="18"/>
              </w:rPr>
            </w:pPr>
            <w:r>
              <w:rPr>
                <w:rFonts w:hAnsi="宋体" w:hint="eastAsia"/>
                <w:szCs w:val="18"/>
              </w:rPr>
              <w:t>3</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高度</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±10</w:t>
            </w:r>
          </w:p>
        </w:tc>
        <w:tc>
          <w:tcPr>
            <w:tcW w:w="1275" w:type="dxa"/>
            <w:vMerge/>
            <w:shd w:val="clear" w:color="auto" w:fill="auto"/>
            <w:vAlign w:val="center"/>
          </w:tcPr>
          <w:p w:rsidR="00B513DC" w:rsidRDefault="00B513DC">
            <w:pPr>
              <w:pStyle w:val="afffffffff6"/>
              <w:rPr>
                <w:rFonts w:hAnsi="宋体"/>
                <w:szCs w:val="18"/>
              </w:rPr>
            </w:pPr>
          </w:p>
        </w:tc>
        <w:tc>
          <w:tcPr>
            <w:tcW w:w="1276"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4</w:t>
            </w:r>
          </w:p>
        </w:tc>
        <w:tc>
          <w:tcPr>
            <w:tcW w:w="2398"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用钢尺测量四个侧面</w:t>
            </w:r>
          </w:p>
        </w:tc>
      </w:tr>
      <w:tr w:rsidR="00B513DC">
        <w:trPr>
          <w:jc w:val="center"/>
        </w:trPr>
        <w:tc>
          <w:tcPr>
            <w:tcW w:w="983" w:type="dxa"/>
            <w:shd w:val="clear" w:color="auto" w:fill="auto"/>
            <w:vAlign w:val="center"/>
          </w:tcPr>
          <w:p w:rsidR="00B513DC" w:rsidRDefault="0057285D">
            <w:pPr>
              <w:pStyle w:val="afffffffff6"/>
              <w:rPr>
                <w:rFonts w:hAnsi="宋体"/>
                <w:szCs w:val="18"/>
              </w:rPr>
            </w:pPr>
            <w:r>
              <w:rPr>
                <w:rFonts w:hAnsi="宋体" w:hint="eastAsia"/>
                <w:szCs w:val="18"/>
              </w:rPr>
              <w:t>4</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翼缘厚度</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-0.5</w:t>
            </w:r>
          </w:p>
        </w:tc>
        <w:tc>
          <w:tcPr>
            <w:tcW w:w="1275" w:type="dxa"/>
            <w:vMerge/>
            <w:shd w:val="clear" w:color="auto" w:fill="auto"/>
            <w:vAlign w:val="center"/>
          </w:tcPr>
          <w:p w:rsidR="00B513DC" w:rsidRDefault="00B513DC">
            <w:pPr>
              <w:pStyle w:val="afffffffff6"/>
              <w:rPr>
                <w:rFonts w:hAnsi="宋体"/>
                <w:szCs w:val="18"/>
              </w:rPr>
            </w:pPr>
          </w:p>
        </w:tc>
        <w:tc>
          <w:tcPr>
            <w:tcW w:w="1276"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4</w:t>
            </w:r>
          </w:p>
        </w:tc>
        <w:tc>
          <w:tcPr>
            <w:tcW w:w="2398"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用游标卡尺测量螺栓孔位置，每边取小值</w:t>
            </w:r>
          </w:p>
        </w:tc>
      </w:tr>
      <w:tr w:rsidR="00B513DC">
        <w:trPr>
          <w:jc w:val="center"/>
        </w:trPr>
        <w:tc>
          <w:tcPr>
            <w:tcW w:w="983" w:type="dxa"/>
            <w:shd w:val="clear" w:color="auto" w:fill="auto"/>
            <w:vAlign w:val="center"/>
          </w:tcPr>
          <w:p w:rsidR="00B513DC" w:rsidRDefault="0057285D">
            <w:pPr>
              <w:pStyle w:val="afffffffff6"/>
              <w:rPr>
                <w:rFonts w:hAnsi="宋体"/>
                <w:szCs w:val="18"/>
              </w:rPr>
            </w:pPr>
            <w:r>
              <w:rPr>
                <w:rFonts w:hAnsi="宋体" w:hint="eastAsia"/>
                <w:szCs w:val="18"/>
              </w:rPr>
              <w:t>5</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顶面对角线差</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10</w:t>
            </w:r>
          </w:p>
        </w:tc>
        <w:tc>
          <w:tcPr>
            <w:tcW w:w="1275" w:type="dxa"/>
            <w:vMerge/>
            <w:shd w:val="clear" w:color="auto" w:fill="auto"/>
            <w:vAlign w:val="center"/>
          </w:tcPr>
          <w:p w:rsidR="00B513DC" w:rsidRDefault="00B513DC">
            <w:pPr>
              <w:pStyle w:val="afffffffff6"/>
              <w:rPr>
                <w:rFonts w:hAnsi="宋体"/>
                <w:szCs w:val="18"/>
              </w:rPr>
            </w:pPr>
          </w:p>
        </w:tc>
        <w:tc>
          <w:tcPr>
            <w:tcW w:w="1276"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w:t>
            </w:r>
          </w:p>
        </w:tc>
        <w:tc>
          <w:tcPr>
            <w:tcW w:w="2398"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用钢尺测量</w:t>
            </w:r>
          </w:p>
        </w:tc>
      </w:tr>
      <w:tr w:rsidR="00B513DC">
        <w:trPr>
          <w:jc w:val="center"/>
        </w:trPr>
        <w:tc>
          <w:tcPr>
            <w:tcW w:w="9334" w:type="dxa"/>
            <w:gridSpan w:val="6"/>
            <w:shd w:val="clear" w:color="auto" w:fill="auto"/>
            <w:vAlign w:val="center"/>
          </w:tcPr>
          <w:p w:rsidR="00B513DC" w:rsidRDefault="0057285D">
            <w:pPr>
              <w:pStyle w:val="afff2"/>
              <w:rPr>
                <w:kern w:val="2"/>
                <w:sz w:val="21"/>
                <w:szCs w:val="21"/>
              </w:rPr>
            </w:pPr>
            <w:r>
              <w:t>浮箱底面长度和宽度设计值应根据设计单位提供的脱模斜率进行修正。</w:t>
            </w:r>
          </w:p>
        </w:tc>
      </w:tr>
    </w:tbl>
    <w:p w:rsidR="00B513DC" w:rsidRDefault="0057285D">
      <w:pPr>
        <w:pStyle w:val="aff4"/>
        <w:spacing w:before="156" w:after="156"/>
        <w:rPr>
          <w:kern w:val="2"/>
          <w:szCs w:val="21"/>
        </w:rPr>
      </w:pPr>
      <w:r>
        <w:t>钢框架结构</w:t>
      </w:r>
    </w:p>
    <w:p w:rsidR="00B513DC" w:rsidRDefault="0057285D">
      <w:pPr>
        <w:pStyle w:val="afffff2"/>
        <w:ind w:firstLine="420"/>
      </w:pPr>
      <w:r>
        <w:t>钢</w:t>
      </w:r>
      <w:proofErr w:type="gramStart"/>
      <w:r>
        <w:t>连系</w:t>
      </w:r>
      <w:proofErr w:type="gramEnd"/>
      <w:r>
        <w:t>框架的允许偏差、检验数量和方法应符合表</w:t>
      </w:r>
      <w:r>
        <w:rPr>
          <w:rFonts w:hint="eastAsia"/>
        </w:rPr>
        <w:t>B</w:t>
      </w:r>
      <w:r>
        <w:t>.2的规定。</w:t>
      </w:r>
    </w:p>
    <w:p w:rsidR="00B513DC" w:rsidRDefault="0057285D">
      <w:pPr>
        <w:pStyle w:val="aff"/>
        <w:spacing w:before="156" w:after="156"/>
      </w:pPr>
      <w:r>
        <w:rPr>
          <w:rFonts w:hint="eastAsia"/>
        </w:rPr>
        <w:t>钢</w:t>
      </w:r>
      <w:proofErr w:type="gramStart"/>
      <w:r>
        <w:rPr>
          <w:rFonts w:hint="eastAsia"/>
        </w:rPr>
        <w:t>连系</w:t>
      </w:r>
      <w:proofErr w:type="gramEnd"/>
      <w:r>
        <w:rPr>
          <w:rFonts w:hint="eastAsia"/>
        </w:rPr>
        <w:t>框架的允许偏差、检验数量和方法</w:t>
      </w:r>
    </w:p>
    <w:tbl>
      <w:tblPr>
        <w:tblStyle w:val="a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275"/>
        <w:gridCol w:w="2127"/>
        <w:gridCol w:w="1275"/>
        <w:gridCol w:w="1276"/>
        <w:gridCol w:w="2398"/>
      </w:tblGrid>
      <w:tr w:rsidR="00B513DC">
        <w:trPr>
          <w:tblHeader/>
          <w:jc w:val="center"/>
        </w:trPr>
        <w:tc>
          <w:tcPr>
            <w:tcW w:w="983" w:type="dxa"/>
            <w:tcBorders>
              <w:top w:val="single" w:sz="8" w:space="0" w:color="auto"/>
              <w:bottom w:val="single" w:sz="8" w:space="0" w:color="auto"/>
            </w:tcBorders>
            <w:shd w:val="clear" w:color="auto" w:fill="auto"/>
            <w:vAlign w:val="center"/>
          </w:tcPr>
          <w:p w:rsidR="00B513DC" w:rsidRDefault="0057285D">
            <w:pPr>
              <w:pStyle w:val="afffffffff6"/>
              <w:rPr>
                <w:rFonts w:hAnsi="宋体"/>
                <w:szCs w:val="18"/>
              </w:rPr>
            </w:pPr>
            <w:r>
              <w:rPr>
                <w:rFonts w:hAnsi="宋体" w:hint="eastAsia"/>
                <w:szCs w:val="18"/>
              </w:rPr>
              <w:t>序号</w:t>
            </w:r>
          </w:p>
        </w:tc>
        <w:tc>
          <w:tcPr>
            <w:tcW w:w="1275"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项目</w:t>
            </w:r>
          </w:p>
        </w:tc>
        <w:tc>
          <w:tcPr>
            <w:tcW w:w="2127"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允许偏差（mm）</w:t>
            </w:r>
          </w:p>
        </w:tc>
        <w:tc>
          <w:tcPr>
            <w:tcW w:w="1275"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检验数量</w:t>
            </w:r>
          </w:p>
        </w:tc>
        <w:tc>
          <w:tcPr>
            <w:tcW w:w="1276"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单元测点</w:t>
            </w:r>
          </w:p>
        </w:tc>
        <w:tc>
          <w:tcPr>
            <w:tcW w:w="2398"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检验方法</w:t>
            </w:r>
          </w:p>
        </w:tc>
      </w:tr>
      <w:tr w:rsidR="00B513DC">
        <w:trPr>
          <w:jc w:val="center"/>
        </w:trPr>
        <w:tc>
          <w:tcPr>
            <w:tcW w:w="983" w:type="dxa"/>
            <w:tcBorders>
              <w:top w:val="single" w:sz="8" w:space="0" w:color="auto"/>
            </w:tcBorders>
            <w:shd w:val="clear" w:color="auto" w:fill="auto"/>
            <w:vAlign w:val="center"/>
          </w:tcPr>
          <w:p w:rsidR="00B513DC" w:rsidRDefault="0057285D">
            <w:pPr>
              <w:pStyle w:val="afffffffff6"/>
              <w:rPr>
                <w:rFonts w:hAnsi="宋体"/>
                <w:szCs w:val="18"/>
              </w:rPr>
            </w:pPr>
            <w:r>
              <w:rPr>
                <w:rFonts w:hAnsi="宋体" w:hint="eastAsia"/>
                <w:szCs w:val="18"/>
              </w:rPr>
              <w:t>1</w:t>
            </w:r>
          </w:p>
        </w:tc>
        <w:tc>
          <w:tcPr>
            <w:tcW w:w="1275"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长度</w:t>
            </w:r>
          </w:p>
        </w:tc>
        <w:tc>
          <w:tcPr>
            <w:tcW w:w="2127"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±5</w:t>
            </w:r>
          </w:p>
        </w:tc>
        <w:tc>
          <w:tcPr>
            <w:tcW w:w="1275" w:type="dxa"/>
            <w:vMerge w:val="restart"/>
            <w:tcBorders>
              <w:top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逐件检查</w:t>
            </w:r>
          </w:p>
        </w:tc>
        <w:tc>
          <w:tcPr>
            <w:tcW w:w="1276"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2398"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用钢尺测量两侧</w:t>
            </w:r>
          </w:p>
        </w:tc>
      </w:tr>
      <w:tr w:rsidR="00B513DC">
        <w:trPr>
          <w:jc w:val="center"/>
        </w:trPr>
        <w:tc>
          <w:tcPr>
            <w:tcW w:w="983" w:type="dxa"/>
            <w:shd w:val="clear" w:color="auto" w:fill="auto"/>
            <w:vAlign w:val="center"/>
          </w:tcPr>
          <w:p w:rsidR="00B513DC" w:rsidRDefault="0057285D">
            <w:pPr>
              <w:pStyle w:val="afffffffff6"/>
              <w:rPr>
                <w:rFonts w:hAnsi="宋体"/>
                <w:szCs w:val="18"/>
              </w:rPr>
            </w:pPr>
            <w:r>
              <w:rPr>
                <w:rFonts w:hAnsi="宋体" w:hint="eastAsia"/>
                <w:szCs w:val="18"/>
              </w:rPr>
              <w:t>2</w:t>
            </w:r>
          </w:p>
        </w:tc>
        <w:tc>
          <w:tcPr>
            <w:tcW w:w="1275"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宽度</w:t>
            </w:r>
          </w:p>
        </w:tc>
        <w:tc>
          <w:tcPr>
            <w:tcW w:w="2127"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±3</w:t>
            </w:r>
          </w:p>
        </w:tc>
        <w:tc>
          <w:tcPr>
            <w:tcW w:w="1275" w:type="dxa"/>
            <w:vMerge/>
            <w:shd w:val="clear" w:color="auto" w:fill="auto"/>
            <w:vAlign w:val="center"/>
          </w:tcPr>
          <w:p w:rsidR="00B513DC" w:rsidRDefault="00B513DC">
            <w:pPr>
              <w:pStyle w:val="afffffffff6"/>
              <w:rPr>
                <w:rFonts w:hAnsi="宋体"/>
                <w:szCs w:val="18"/>
              </w:rPr>
            </w:pPr>
          </w:p>
        </w:tc>
        <w:tc>
          <w:tcPr>
            <w:tcW w:w="1276"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2398"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用钢尺测量两侧</w:t>
            </w:r>
          </w:p>
        </w:tc>
      </w:tr>
      <w:tr w:rsidR="00B513DC">
        <w:trPr>
          <w:jc w:val="center"/>
        </w:trPr>
        <w:tc>
          <w:tcPr>
            <w:tcW w:w="983" w:type="dxa"/>
            <w:shd w:val="clear" w:color="auto" w:fill="auto"/>
            <w:vAlign w:val="center"/>
          </w:tcPr>
          <w:p w:rsidR="00B513DC" w:rsidRDefault="0057285D">
            <w:pPr>
              <w:pStyle w:val="afffffffff6"/>
              <w:rPr>
                <w:rFonts w:hAnsi="宋体"/>
                <w:szCs w:val="18"/>
              </w:rPr>
            </w:pPr>
            <w:r>
              <w:rPr>
                <w:rFonts w:hAnsi="宋体" w:hint="eastAsia"/>
                <w:szCs w:val="18"/>
              </w:rPr>
              <w:t>3</w:t>
            </w:r>
          </w:p>
        </w:tc>
        <w:tc>
          <w:tcPr>
            <w:tcW w:w="1275"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对角线差</w:t>
            </w:r>
          </w:p>
        </w:tc>
        <w:tc>
          <w:tcPr>
            <w:tcW w:w="2127"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10(6</w:t>
            </w:r>
            <w:r w:rsidR="009B1A3D">
              <w:rPr>
                <w:rFonts w:ascii="MS Gothic" w:eastAsia="MS Gothic" w:hAnsi="MS Gothic" w:cs="MS Gothic"/>
              </w:rPr>
              <w:t> </w:t>
            </w:r>
            <w:r>
              <w:rPr>
                <w:rFonts w:ascii="宋体" w:hAnsi="宋体"/>
                <w:sz w:val="18"/>
                <w:szCs w:val="18"/>
              </w:rPr>
              <w:t>m)15(12</w:t>
            </w:r>
            <w:r w:rsidR="009B1A3D">
              <w:rPr>
                <w:rFonts w:ascii="MS Gothic" w:eastAsia="MS Gothic" w:hAnsi="MS Gothic" w:cs="MS Gothic"/>
              </w:rPr>
              <w:t> </w:t>
            </w:r>
            <w:r>
              <w:rPr>
                <w:rFonts w:ascii="宋体" w:hAnsi="宋体"/>
                <w:sz w:val="18"/>
                <w:szCs w:val="18"/>
              </w:rPr>
              <w:t>m)</w:t>
            </w:r>
          </w:p>
        </w:tc>
        <w:tc>
          <w:tcPr>
            <w:tcW w:w="1275" w:type="dxa"/>
            <w:vMerge/>
            <w:shd w:val="clear" w:color="auto" w:fill="auto"/>
            <w:vAlign w:val="center"/>
          </w:tcPr>
          <w:p w:rsidR="00B513DC" w:rsidRDefault="00B513DC">
            <w:pPr>
              <w:pStyle w:val="afffffffff6"/>
              <w:rPr>
                <w:rFonts w:hAnsi="宋体"/>
                <w:szCs w:val="18"/>
              </w:rPr>
            </w:pPr>
          </w:p>
        </w:tc>
        <w:tc>
          <w:tcPr>
            <w:tcW w:w="1276"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w:t>
            </w:r>
          </w:p>
        </w:tc>
        <w:tc>
          <w:tcPr>
            <w:tcW w:w="2398"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用钢尺测量</w:t>
            </w:r>
          </w:p>
        </w:tc>
      </w:tr>
      <w:tr w:rsidR="00B513DC">
        <w:trPr>
          <w:jc w:val="center"/>
        </w:trPr>
        <w:tc>
          <w:tcPr>
            <w:tcW w:w="983" w:type="dxa"/>
            <w:shd w:val="clear" w:color="auto" w:fill="auto"/>
            <w:vAlign w:val="center"/>
          </w:tcPr>
          <w:p w:rsidR="00B513DC" w:rsidRDefault="0057285D">
            <w:pPr>
              <w:pStyle w:val="afffffffff6"/>
              <w:rPr>
                <w:rFonts w:hAnsi="宋体"/>
                <w:szCs w:val="18"/>
              </w:rPr>
            </w:pPr>
            <w:r>
              <w:rPr>
                <w:rFonts w:hAnsi="宋体" w:hint="eastAsia"/>
                <w:szCs w:val="18"/>
              </w:rPr>
              <w:t>4</w:t>
            </w:r>
          </w:p>
        </w:tc>
        <w:tc>
          <w:tcPr>
            <w:tcW w:w="1275"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弯曲矢高</w:t>
            </w:r>
          </w:p>
        </w:tc>
        <w:tc>
          <w:tcPr>
            <w:tcW w:w="2127"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L/1000且不大于10</w:t>
            </w:r>
          </w:p>
        </w:tc>
        <w:tc>
          <w:tcPr>
            <w:tcW w:w="1275" w:type="dxa"/>
            <w:vMerge/>
            <w:shd w:val="clear" w:color="auto" w:fill="auto"/>
            <w:vAlign w:val="center"/>
          </w:tcPr>
          <w:p w:rsidR="00B513DC" w:rsidRDefault="00B513DC">
            <w:pPr>
              <w:pStyle w:val="afffffffff6"/>
              <w:rPr>
                <w:rFonts w:hAnsi="宋体"/>
                <w:szCs w:val="18"/>
              </w:rPr>
            </w:pPr>
          </w:p>
        </w:tc>
        <w:tc>
          <w:tcPr>
            <w:tcW w:w="1276"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2398"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拉线用钢尺测量两侧</w:t>
            </w:r>
          </w:p>
        </w:tc>
      </w:tr>
      <w:tr w:rsidR="00B513DC">
        <w:trPr>
          <w:jc w:val="center"/>
        </w:trPr>
        <w:tc>
          <w:tcPr>
            <w:tcW w:w="983" w:type="dxa"/>
            <w:shd w:val="clear" w:color="auto" w:fill="auto"/>
            <w:vAlign w:val="center"/>
          </w:tcPr>
          <w:p w:rsidR="00B513DC" w:rsidRDefault="0057285D">
            <w:pPr>
              <w:pStyle w:val="afffffffff6"/>
              <w:rPr>
                <w:rFonts w:hAnsi="宋体"/>
                <w:szCs w:val="18"/>
              </w:rPr>
            </w:pPr>
            <w:r>
              <w:rPr>
                <w:rFonts w:hAnsi="宋体" w:hint="eastAsia"/>
                <w:szCs w:val="18"/>
              </w:rPr>
              <w:t>5</w:t>
            </w:r>
          </w:p>
        </w:tc>
        <w:tc>
          <w:tcPr>
            <w:tcW w:w="1275"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翘曲高度</w:t>
            </w:r>
          </w:p>
        </w:tc>
        <w:tc>
          <w:tcPr>
            <w:tcW w:w="2127"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2L/1000且不大于10</w:t>
            </w:r>
          </w:p>
        </w:tc>
        <w:tc>
          <w:tcPr>
            <w:tcW w:w="1275" w:type="dxa"/>
            <w:vMerge/>
            <w:shd w:val="clear" w:color="auto" w:fill="auto"/>
            <w:vAlign w:val="center"/>
          </w:tcPr>
          <w:p w:rsidR="00B513DC" w:rsidRDefault="00B513DC">
            <w:pPr>
              <w:pStyle w:val="afffffffff6"/>
              <w:rPr>
                <w:rFonts w:hAnsi="宋体"/>
                <w:szCs w:val="18"/>
              </w:rPr>
            </w:pPr>
          </w:p>
        </w:tc>
        <w:tc>
          <w:tcPr>
            <w:tcW w:w="1276"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2398"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平台上三点着地，钢尺测量翘起角高度</w:t>
            </w:r>
          </w:p>
        </w:tc>
      </w:tr>
      <w:tr w:rsidR="00B513DC">
        <w:trPr>
          <w:jc w:val="center"/>
        </w:trPr>
        <w:tc>
          <w:tcPr>
            <w:tcW w:w="9334" w:type="dxa"/>
            <w:gridSpan w:val="6"/>
            <w:shd w:val="clear" w:color="auto" w:fill="auto"/>
            <w:vAlign w:val="center"/>
          </w:tcPr>
          <w:p w:rsidR="00B513DC" w:rsidRDefault="0057285D">
            <w:pPr>
              <w:pStyle w:val="afff2"/>
            </w:pPr>
            <w:r>
              <w:rPr>
                <w:rFonts w:hint="eastAsia"/>
              </w:rPr>
              <w:t>L为钢</w:t>
            </w:r>
            <w:proofErr w:type="gramStart"/>
            <w:r>
              <w:rPr>
                <w:rFonts w:hint="eastAsia"/>
              </w:rPr>
              <w:t>连系</w:t>
            </w:r>
            <w:proofErr w:type="gramEnd"/>
            <w:r>
              <w:rPr>
                <w:rFonts w:hint="eastAsia"/>
              </w:rPr>
              <w:t>框架结构长度，单位为mm。</w:t>
            </w:r>
          </w:p>
        </w:tc>
      </w:tr>
    </w:tbl>
    <w:p w:rsidR="00B513DC" w:rsidRDefault="0057285D">
      <w:pPr>
        <w:pStyle w:val="aff4"/>
        <w:spacing w:before="156" w:after="156"/>
        <w:rPr>
          <w:kern w:val="2"/>
          <w:szCs w:val="21"/>
        </w:rPr>
      </w:pPr>
      <w:r>
        <w:t>浮桥单元</w:t>
      </w:r>
    </w:p>
    <w:p w:rsidR="00B513DC" w:rsidRDefault="0057285D">
      <w:pPr>
        <w:pStyle w:val="afffff2"/>
        <w:ind w:firstLine="420"/>
      </w:pPr>
      <w:r>
        <w:t>浮桥单元组装的允许偏差、检验数量和方法应符合表</w:t>
      </w:r>
      <w:r>
        <w:rPr>
          <w:rFonts w:hint="eastAsia"/>
        </w:rPr>
        <w:t>B</w:t>
      </w:r>
      <w:r>
        <w:t>.3的规定。</w:t>
      </w:r>
    </w:p>
    <w:p w:rsidR="00B513DC" w:rsidRDefault="0057285D">
      <w:pPr>
        <w:pStyle w:val="aff"/>
        <w:spacing w:before="156" w:after="156"/>
      </w:pPr>
      <w:r>
        <w:rPr>
          <w:rFonts w:hint="eastAsia"/>
        </w:rPr>
        <w:t>浮桥单元组装的允许偏差、检验数量和方法</w:t>
      </w:r>
    </w:p>
    <w:tbl>
      <w:tblPr>
        <w:tblStyle w:val="a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134"/>
        <w:gridCol w:w="1134"/>
        <w:gridCol w:w="1701"/>
        <w:gridCol w:w="1134"/>
        <w:gridCol w:w="1134"/>
        <w:gridCol w:w="2398"/>
      </w:tblGrid>
      <w:tr w:rsidR="00B513DC">
        <w:trPr>
          <w:tblHeader/>
          <w:jc w:val="center"/>
        </w:trPr>
        <w:tc>
          <w:tcPr>
            <w:tcW w:w="699" w:type="dxa"/>
            <w:tcBorders>
              <w:top w:val="single" w:sz="8" w:space="0" w:color="auto"/>
              <w:bottom w:val="single" w:sz="8" w:space="0" w:color="auto"/>
            </w:tcBorders>
            <w:shd w:val="clear" w:color="auto" w:fill="auto"/>
            <w:vAlign w:val="center"/>
          </w:tcPr>
          <w:p w:rsidR="00B513DC" w:rsidRDefault="0057285D">
            <w:pPr>
              <w:pStyle w:val="afffffffff6"/>
              <w:rPr>
                <w:rFonts w:hAnsi="宋体"/>
                <w:szCs w:val="18"/>
              </w:rPr>
            </w:pPr>
            <w:r>
              <w:rPr>
                <w:rFonts w:hAnsi="宋体" w:hint="eastAsia"/>
                <w:szCs w:val="18"/>
              </w:rPr>
              <w:t>序号</w:t>
            </w:r>
          </w:p>
        </w:tc>
        <w:tc>
          <w:tcPr>
            <w:tcW w:w="2268" w:type="dxa"/>
            <w:gridSpan w:val="2"/>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项目</w:t>
            </w:r>
          </w:p>
        </w:tc>
        <w:tc>
          <w:tcPr>
            <w:tcW w:w="1701"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允许偏差（mm）</w:t>
            </w:r>
          </w:p>
        </w:tc>
        <w:tc>
          <w:tcPr>
            <w:tcW w:w="1134"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检验数量</w:t>
            </w:r>
          </w:p>
        </w:tc>
        <w:tc>
          <w:tcPr>
            <w:tcW w:w="1134"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单元测点</w:t>
            </w:r>
          </w:p>
        </w:tc>
        <w:tc>
          <w:tcPr>
            <w:tcW w:w="2398"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检验方法</w:t>
            </w:r>
          </w:p>
        </w:tc>
      </w:tr>
      <w:tr w:rsidR="00B513DC">
        <w:trPr>
          <w:jc w:val="center"/>
        </w:trPr>
        <w:tc>
          <w:tcPr>
            <w:tcW w:w="699" w:type="dxa"/>
            <w:vMerge w:val="restart"/>
            <w:tcBorders>
              <w:top w:val="single" w:sz="8" w:space="0" w:color="auto"/>
            </w:tcBorders>
            <w:shd w:val="clear" w:color="auto" w:fill="auto"/>
            <w:vAlign w:val="center"/>
          </w:tcPr>
          <w:p w:rsidR="00B513DC" w:rsidRDefault="0057285D">
            <w:pPr>
              <w:spacing w:line="300" w:lineRule="exact"/>
              <w:jc w:val="center"/>
              <w:rPr>
                <w:rFonts w:ascii="宋体" w:hAnsi="宋体"/>
                <w:sz w:val="18"/>
              </w:rPr>
            </w:pPr>
            <w:r>
              <w:rPr>
                <w:rFonts w:ascii="宋体" w:hAnsi="宋体"/>
                <w:sz w:val="18"/>
              </w:rPr>
              <w:t>1</w:t>
            </w:r>
          </w:p>
        </w:tc>
        <w:tc>
          <w:tcPr>
            <w:tcW w:w="1134" w:type="dxa"/>
            <w:vMerge w:val="restart"/>
            <w:tcBorders>
              <w:top w:val="single" w:sz="8" w:space="0" w:color="auto"/>
            </w:tcBorders>
            <w:shd w:val="clear" w:color="auto" w:fill="auto"/>
            <w:vAlign w:val="center"/>
          </w:tcPr>
          <w:p w:rsidR="00B513DC" w:rsidRDefault="0057285D">
            <w:pPr>
              <w:spacing w:line="300" w:lineRule="exact"/>
              <w:jc w:val="center"/>
              <w:rPr>
                <w:rFonts w:ascii="宋体" w:hAnsi="宋体"/>
                <w:sz w:val="18"/>
              </w:rPr>
            </w:pPr>
            <w:r>
              <w:rPr>
                <w:rFonts w:ascii="宋体" w:hAnsi="宋体"/>
                <w:sz w:val="18"/>
              </w:rPr>
              <w:t>浮箱与框架结构中心线</w:t>
            </w:r>
          </w:p>
        </w:tc>
        <w:tc>
          <w:tcPr>
            <w:tcW w:w="1134" w:type="dxa"/>
            <w:tcBorders>
              <w:top w:val="single" w:sz="8" w:space="0" w:color="auto"/>
            </w:tcBorders>
            <w:shd w:val="clear" w:color="auto" w:fill="auto"/>
            <w:vAlign w:val="center"/>
          </w:tcPr>
          <w:p w:rsidR="00B513DC" w:rsidRDefault="0057285D">
            <w:pPr>
              <w:spacing w:line="300" w:lineRule="exact"/>
              <w:jc w:val="center"/>
              <w:rPr>
                <w:rFonts w:ascii="宋体" w:hAnsi="宋体"/>
                <w:sz w:val="18"/>
              </w:rPr>
            </w:pPr>
            <w:r>
              <w:rPr>
                <w:rFonts w:ascii="宋体" w:hAnsi="宋体"/>
                <w:sz w:val="18"/>
              </w:rPr>
              <w:t>单排浮箱</w:t>
            </w:r>
          </w:p>
        </w:tc>
        <w:tc>
          <w:tcPr>
            <w:tcW w:w="1701" w:type="dxa"/>
            <w:tcBorders>
              <w:top w:val="single" w:sz="8" w:space="0" w:color="auto"/>
            </w:tcBorders>
            <w:shd w:val="clear" w:color="auto" w:fill="auto"/>
            <w:vAlign w:val="center"/>
          </w:tcPr>
          <w:p w:rsidR="00B513DC" w:rsidRDefault="0057285D">
            <w:pPr>
              <w:spacing w:line="300" w:lineRule="exact"/>
              <w:jc w:val="center"/>
              <w:rPr>
                <w:rFonts w:ascii="宋体" w:hAnsi="宋体"/>
                <w:sz w:val="18"/>
              </w:rPr>
            </w:pPr>
            <w:r>
              <w:rPr>
                <w:rFonts w:ascii="宋体" w:hAnsi="宋体"/>
                <w:sz w:val="18"/>
              </w:rPr>
              <w:t>5</w:t>
            </w:r>
          </w:p>
        </w:tc>
        <w:tc>
          <w:tcPr>
            <w:tcW w:w="1134" w:type="dxa"/>
            <w:vMerge w:val="restart"/>
            <w:tcBorders>
              <w:top w:val="single" w:sz="8" w:space="0" w:color="auto"/>
            </w:tcBorders>
            <w:shd w:val="clear" w:color="auto" w:fill="auto"/>
            <w:vAlign w:val="center"/>
          </w:tcPr>
          <w:p w:rsidR="00B513DC" w:rsidRDefault="0057285D">
            <w:pPr>
              <w:jc w:val="center"/>
              <w:rPr>
                <w:rFonts w:ascii="宋体" w:hAnsi="宋体"/>
                <w:sz w:val="18"/>
              </w:rPr>
            </w:pPr>
            <w:r>
              <w:rPr>
                <w:rFonts w:ascii="宋体" w:hAnsi="宋体"/>
                <w:sz w:val="18"/>
              </w:rPr>
              <w:t>逐件检查</w:t>
            </w:r>
          </w:p>
        </w:tc>
        <w:tc>
          <w:tcPr>
            <w:tcW w:w="1134" w:type="dxa"/>
            <w:vMerge w:val="restart"/>
            <w:tcBorders>
              <w:top w:val="single" w:sz="8" w:space="0" w:color="auto"/>
            </w:tcBorders>
            <w:shd w:val="clear" w:color="auto" w:fill="auto"/>
            <w:vAlign w:val="center"/>
          </w:tcPr>
          <w:p w:rsidR="00B513DC" w:rsidRDefault="0057285D">
            <w:pPr>
              <w:spacing w:line="300" w:lineRule="exact"/>
              <w:jc w:val="center"/>
              <w:rPr>
                <w:rFonts w:ascii="宋体" w:hAnsi="宋体"/>
                <w:sz w:val="18"/>
              </w:rPr>
            </w:pPr>
            <w:r>
              <w:rPr>
                <w:rFonts w:ascii="宋体" w:hAnsi="宋体"/>
                <w:sz w:val="18"/>
              </w:rPr>
              <w:t>1</w:t>
            </w:r>
          </w:p>
        </w:tc>
        <w:tc>
          <w:tcPr>
            <w:tcW w:w="2398" w:type="dxa"/>
            <w:vMerge w:val="restart"/>
            <w:tcBorders>
              <w:top w:val="single" w:sz="8" w:space="0" w:color="auto"/>
            </w:tcBorders>
            <w:shd w:val="clear" w:color="auto" w:fill="auto"/>
            <w:vAlign w:val="center"/>
          </w:tcPr>
          <w:p w:rsidR="00B513DC" w:rsidRDefault="0057285D">
            <w:pPr>
              <w:spacing w:line="300" w:lineRule="exact"/>
              <w:jc w:val="center"/>
              <w:rPr>
                <w:rFonts w:ascii="宋体" w:hAnsi="宋体"/>
                <w:sz w:val="18"/>
              </w:rPr>
            </w:pPr>
            <w:r>
              <w:rPr>
                <w:rFonts w:ascii="宋体" w:hAnsi="宋体"/>
                <w:sz w:val="18"/>
              </w:rPr>
              <w:t>拉线用钢尺测量，取大值</w:t>
            </w:r>
          </w:p>
        </w:tc>
      </w:tr>
      <w:tr w:rsidR="00B513DC">
        <w:trPr>
          <w:jc w:val="center"/>
        </w:trPr>
        <w:tc>
          <w:tcPr>
            <w:tcW w:w="699" w:type="dxa"/>
            <w:vMerge/>
            <w:shd w:val="clear" w:color="auto" w:fill="auto"/>
            <w:vAlign w:val="center"/>
          </w:tcPr>
          <w:p w:rsidR="00B513DC" w:rsidRDefault="00B513DC">
            <w:pPr>
              <w:pStyle w:val="afffffffff6"/>
              <w:rPr>
                <w:rFonts w:hAnsi="宋体"/>
              </w:rPr>
            </w:pPr>
          </w:p>
        </w:tc>
        <w:tc>
          <w:tcPr>
            <w:tcW w:w="1134" w:type="dxa"/>
            <w:vMerge/>
            <w:shd w:val="clear" w:color="auto" w:fill="auto"/>
            <w:vAlign w:val="center"/>
          </w:tcPr>
          <w:p w:rsidR="00B513DC" w:rsidRDefault="00B513DC">
            <w:pPr>
              <w:spacing w:line="300" w:lineRule="exact"/>
              <w:jc w:val="center"/>
              <w:rPr>
                <w:rFonts w:ascii="宋体" w:hAnsi="宋体"/>
                <w:sz w:val="18"/>
              </w:rPr>
            </w:pPr>
          </w:p>
        </w:tc>
        <w:tc>
          <w:tcPr>
            <w:tcW w:w="1134" w:type="dxa"/>
            <w:shd w:val="clear" w:color="auto" w:fill="auto"/>
            <w:vAlign w:val="center"/>
          </w:tcPr>
          <w:p w:rsidR="00B513DC" w:rsidRDefault="0057285D">
            <w:pPr>
              <w:spacing w:line="300" w:lineRule="exact"/>
              <w:jc w:val="center"/>
              <w:rPr>
                <w:rFonts w:ascii="宋体" w:hAnsi="宋体"/>
                <w:sz w:val="18"/>
              </w:rPr>
            </w:pPr>
            <w:r>
              <w:rPr>
                <w:rFonts w:ascii="宋体" w:hAnsi="宋体"/>
                <w:sz w:val="18"/>
              </w:rPr>
              <w:t>多排浮箱</w:t>
            </w:r>
          </w:p>
        </w:tc>
        <w:tc>
          <w:tcPr>
            <w:tcW w:w="1701" w:type="dxa"/>
            <w:shd w:val="clear" w:color="auto" w:fill="auto"/>
            <w:vAlign w:val="center"/>
          </w:tcPr>
          <w:p w:rsidR="00B513DC" w:rsidRDefault="0057285D">
            <w:pPr>
              <w:spacing w:line="300" w:lineRule="exact"/>
              <w:jc w:val="center"/>
              <w:rPr>
                <w:rFonts w:ascii="宋体" w:hAnsi="宋体"/>
                <w:sz w:val="18"/>
              </w:rPr>
            </w:pPr>
            <w:r>
              <w:rPr>
                <w:rFonts w:ascii="宋体" w:hAnsi="宋体"/>
                <w:sz w:val="18"/>
              </w:rPr>
              <w:t>10</w:t>
            </w:r>
          </w:p>
        </w:tc>
        <w:tc>
          <w:tcPr>
            <w:tcW w:w="1134" w:type="dxa"/>
            <w:vMerge/>
            <w:shd w:val="clear" w:color="auto" w:fill="auto"/>
            <w:vAlign w:val="center"/>
          </w:tcPr>
          <w:p w:rsidR="00B513DC" w:rsidRDefault="00B513DC">
            <w:pPr>
              <w:pStyle w:val="afffffffff6"/>
              <w:rPr>
                <w:rFonts w:hAnsi="宋体"/>
              </w:rPr>
            </w:pPr>
          </w:p>
        </w:tc>
        <w:tc>
          <w:tcPr>
            <w:tcW w:w="1134" w:type="dxa"/>
            <w:vMerge/>
            <w:shd w:val="clear" w:color="auto" w:fill="auto"/>
            <w:vAlign w:val="center"/>
          </w:tcPr>
          <w:p w:rsidR="00B513DC" w:rsidRDefault="00B513DC">
            <w:pPr>
              <w:spacing w:line="300" w:lineRule="exact"/>
              <w:jc w:val="center"/>
              <w:rPr>
                <w:rFonts w:ascii="宋体" w:hAnsi="宋体"/>
                <w:sz w:val="18"/>
              </w:rPr>
            </w:pPr>
          </w:p>
        </w:tc>
        <w:tc>
          <w:tcPr>
            <w:tcW w:w="2398" w:type="dxa"/>
            <w:vMerge/>
            <w:shd w:val="clear" w:color="auto" w:fill="auto"/>
            <w:vAlign w:val="center"/>
          </w:tcPr>
          <w:p w:rsidR="00B513DC" w:rsidRDefault="00B513DC">
            <w:pPr>
              <w:spacing w:line="300" w:lineRule="exact"/>
              <w:jc w:val="center"/>
              <w:rPr>
                <w:rFonts w:ascii="宋体" w:hAnsi="宋体"/>
                <w:sz w:val="18"/>
              </w:rPr>
            </w:pPr>
          </w:p>
        </w:tc>
      </w:tr>
      <w:tr w:rsidR="00B513DC">
        <w:trPr>
          <w:jc w:val="center"/>
        </w:trPr>
        <w:tc>
          <w:tcPr>
            <w:tcW w:w="699" w:type="dxa"/>
            <w:vMerge w:val="restart"/>
            <w:shd w:val="clear" w:color="auto" w:fill="auto"/>
            <w:vAlign w:val="center"/>
          </w:tcPr>
          <w:p w:rsidR="00B513DC" w:rsidRDefault="0057285D">
            <w:pPr>
              <w:spacing w:line="300" w:lineRule="exact"/>
              <w:jc w:val="center"/>
              <w:rPr>
                <w:rFonts w:ascii="宋体" w:hAnsi="宋体"/>
                <w:sz w:val="18"/>
              </w:rPr>
            </w:pPr>
            <w:r>
              <w:rPr>
                <w:rFonts w:ascii="宋体" w:hAnsi="宋体"/>
                <w:sz w:val="18"/>
              </w:rPr>
              <w:t>2</w:t>
            </w:r>
          </w:p>
        </w:tc>
        <w:tc>
          <w:tcPr>
            <w:tcW w:w="1134" w:type="dxa"/>
            <w:vMerge w:val="restart"/>
            <w:shd w:val="clear" w:color="auto" w:fill="auto"/>
            <w:vAlign w:val="center"/>
          </w:tcPr>
          <w:p w:rsidR="00B513DC" w:rsidRDefault="0057285D">
            <w:pPr>
              <w:spacing w:line="300" w:lineRule="exact"/>
              <w:jc w:val="center"/>
              <w:rPr>
                <w:rFonts w:ascii="宋体" w:hAnsi="宋体"/>
                <w:sz w:val="18"/>
              </w:rPr>
            </w:pPr>
            <w:r>
              <w:rPr>
                <w:rFonts w:ascii="宋体" w:hAnsi="宋体"/>
                <w:sz w:val="18"/>
              </w:rPr>
              <w:t>浮箱中心线间距</w:t>
            </w:r>
          </w:p>
        </w:tc>
        <w:tc>
          <w:tcPr>
            <w:tcW w:w="1134" w:type="dxa"/>
            <w:shd w:val="clear" w:color="auto" w:fill="auto"/>
            <w:vAlign w:val="center"/>
          </w:tcPr>
          <w:p w:rsidR="00B513DC" w:rsidRDefault="0057285D">
            <w:pPr>
              <w:spacing w:line="300" w:lineRule="exact"/>
              <w:jc w:val="center"/>
              <w:rPr>
                <w:rFonts w:ascii="宋体" w:hAnsi="宋体"/>
                <w:sz w:val="18"/>
              </w:rPr>
            </w:pPr>
            <w:r>
              <w:rPr>
                <w:rFonts w:ascii="宋体" w:hAnsi="宋体"/>
                <w:sz w:val="18"/>
              </w:rPr>
              <w:t>单排浮箱</w:t>
            </w:r>
          </w:p>
        </w:tc>
        <w:tc>
          <w:tcPr>
            <w:tcW w:w="1701" w:type="dxa"/>
            <w:shd w:val="clear" w:color="auto" w:fill="auto"/>
            <w:vAlign w:val="center"/>
          </w:tcPr>
          <w:p w:rsidR="00B513DC" w:rsidRDefault="0057285D">
            <w:pPr>
              <w:spacing w:line="300" w:lineRule="exact"/>
              <w:jc w:val="center"/>
              <w:rPr>
                <w:rFonts w:ascii="宋体" w:hAnsi="宋体"/>
                <w:sz w:val="18"/>
              </w:rPr>
            </w:pPr>
            <w:r>
              <w:rPr>
                <w:rFonts w:ascii="宋体" w:hAnsi="宋体"/>
                <w:sz w:val="18"/>
              </w:rPr>
              <w:t>±5</w:t>
            </w:r>
          </w:p>
        </w:tc>
        <w:tc>
          <w:tcPr>
            <w:tcW w:w="1134" w:type="dxa"/>
            <w:vMerge/>
            <w:shd w:val="clear" w:color="auto" w:fill="auto"/>
            <w:vAlign w:val="center"/>
          </w:tcPr>
          <w:p w:rsidR="00B513DC" w:rsidRDefault="00B513DC">
            <w:pPr>
              <w:pStyle w:val="afffffffff6"/>
              <w:rPr>
                <w:rFonts w:hAnsi="宋体"/>
              </w:rPr>
            </w:pPr>
          </w:p>
        </w:tc>
        <w:tc>
          <w:tcPr>
            <w:tcW w:w="1134" w:type="dxa"/>
            <w:shd w:val="clear" w:color="auto" w:fill="auto"/>
            <w:vAlign w:val="center"/>
          </w:tcPr>
          <w:p w:rsidR="00B513DC" w:rsidRDefault="0057285D">
            <w:pPr>
              <w:spacing w:line="300" w:lineRule="exact"/>
              <w:jc w:val="center"/>
              <w:rPr>
                <w:rFonts w:ascii="宋体" w:hAnsi="宋体"/>
                <w:sz w:val="18"/>
              </w:rPr>
            </w:pPr>
            <w:r>
              <w:rPr>
                <w:rFonts w:ascii="宋体" w:hAnsi="宋体"/>
                <w:sz w:val="18"/>
              </w:rPr>
              <w:t>1</w:t>
            </w:r>
          </w:p>
        </w:tc>
        <w:tc>
          <w:tcPr>
            <w:tcW w:w="2398" w:type="dxa"/>
            <w:shd w:val="clear" w:color="auto" w:fill="auto"/>
            <w:vAlign w:val="center"/>
          </w:tcPr>
          <w:p w:rsidR="00B513DC" w:rsidRDefault="0057285D">
            <w:pPr>
              <w:spacing w:line="300" w:lineRule="exact"/>
              <w:jc w:val="center"/>
              <w:rPr>
                <w:rFonts w:ascii="宋体" w:hAnsi="宋体"/>
                <w:sz w:val="18"/>
              </w:rPr>
            </w:pPr>
            <w:r>
              <w:rPr>
                <w:rFonts w:ascii="宋体" w:hAnsi="宋体"/>
                <w:sz w:val="18"/>
              </w:rPr>
              <w:t>用钢尺测量，取大值</w:t>
            </w:r>
          </w:p>
        </w:tc>
      </w:tr>
      <w:tr w:rsidR="00B513DC">
        <w:trPr>
          <w:jc w:val="center"/>
        </w:trPr>
        <w:tc>
          <w:tcPr>
            <w:tcW w:w="699" w:type="dxa"/>
            <w:vMerge/>
            <w:shd w:val="clear" w:color="auto" w:fill="auto"/>
            <w:vAlign w:val="center"/>
          </w:tcPr>
          <w:p w:rsidR="00B513DC" w:rsidRDefault="00B513DC">
            <w:pPr>
              <w:pStyle w:val="afffffffff6"/>
              <w:rPr>
                <w:rFonts w:hAnsi="宋体"/>
              </w:rPr>
            </w:pPr>
          </w:p>
        </w:tc>
        <w:tc>
          <w:tcPr>
            <w:tcW w:w="1134" w:type="dxa"/>
            <w:vMerge/>
            <w:shd w:val="clear" w:color="auto" w:fill="auto"/>
            <w:vAlign w:val="center"/>
          </w:tcPr>
          <w:p w:rsidR="00B513DC" w:rsidRDefault="00B513DC">
            <w:pPr>
              <w:spacing w:line="300" w:lineRule="exact"/>
              <w:jc w:val="center"/>
              <w:rPr>
                <w:rFonts w:ascii="宋体" w:hAnsi="宋体"/>
                <w:sz w:val="18"/>
              </w:rPr>
            </w:pPr>
          </w:p>
        </w:tc>
        <w:tc>
          <w:tcPr>
            <w:tcW w:w="1134" w:type="dxa"/>
            <w:shd w:val="clear" w:color="auto" w:fill="auto"/>
            <w:vAlign w:val="center"/>
          </w:tcPr>
          <w:p w:rsidR="00B513DC" w:rsidRDefault="0057285D">
            <w:pPr>
              <w:spacing w:line="300" w:lineRule="exact"/>
              <w:jc w:val="center"/>
              <w:rPr>
                <w:rFonts w:ascii="宋体" w:hAnsi="宋体"/>
                <w:sz w:val="18"/>
              </w:rPr>
            </w:pPr>
            <w:r>
              <w:rPr>
                <w:rFonts w:ascii="宋体" w:hAnsi="宋体"/>
                <w:sz w:val="18"/>
              </w:rPr>
              <w:t>多排浮箱</w:t>
            </w:r>
          </w:p>
        </w:tc>
        <w:tc>
          <w:tcPr>
            <w:tcW w:w="1701" w:type="dxa"/>
            <w:shd w:val="clear" w:color="auto" w:fill="auto"/>
            <w:vAlign w:val="center"/>
          </w:tcPr>
          <w:p w:rsidR="00B513DC" w:rsidRDefault="0057285D">
            <w:pPr>
              <w:spacing w:line="300" w:lineRule="exact"/>
              <w:jc w:val="center"/>
              <w:rPr>
                <w:rFonts w:ascii="宋体" w:hAnsi="宋体"/>
                <w:sz w:val="18"/>
              </w:rPr>
            </w:pPr>
            <w:r>
              <w:rPr>
                <w:rFonts w:ascii="宋体" w:hAnsi="宋体"/>
                <w:sz w:val="18"/>
              </w:rPr>
              <w:t>±5</w:t>
            </w:r>
          </w:p>
        </w:tc>
        <w:tc>
          <w:tcPr>
            <w:tcW w:w="1134" w:type="dxa"/>
            <w:vMerge/>
            <w:shd w:val="clear" w:color="auto" w:fill="auto"/>
            <w:vAlign w:val="center"/>
          </w:tcPr>
          <w:p w:rsidR="00B513DC" w:rsidRDefault="00B513DC">
            <w:pPr>
              <w:pStyle w:val="afffffffff6"/>
              <w:rPr>
                <w:rFonts w:hAnsi="宋体"/>
              </w:rPr>
            </w:pPr>
          </w:p>
        </w:tc>
        <w:tc>
          <w:tcPr>
            <w:tcW w:w="1134" w:type="dxa"/>
            <w:shd w:val="clear" w:color="auto" w:fill="auto"/>
            <w:vAlign w:val="center"/>
          </w:tcPr>
          <w:p w:rsidR="00B513DC" w:rsidRDefault="0057285D">
            <w:pPr>
              <w:spacing w:line="300" w:lineRule="exact"/>
              <w:jc w:val="center"/>
              <w:rPr>
                <w:rFonts w:ascii="宋体" w:hAnsi="宋体"/>
                <w:sz w:val="18"/>
              </w:rPr>
            </w:pPr>
            <w:r>
              <w:rPr>
                <w:rFonts w:ascii="宋体" w:hAnsi="宋体"/>
                <w:sz w:val="18"/>
              </w:rPr>
              <w:t>2</w:t>
            </w:r>
          </w:p>
        </w:tc>
        <w:tc>
          <w:tcPr>
            <w:tcW w:w="2398" w:type="dxa"/>
            <w:shd w:val="clear" w:color="auto" w:fill="auto"/>
            <w:vAlign w:val="center"/>
          </w:tcPr>
          <w:p w:rsidR="00B513DC" w:rsidRDefault="0057285D">
            <w:pPr>
              <w:spacing w:line="300" w:lineRule="exact"/>
              <w:jc w:val="center"/>
              <w:rPr>
                <w:rFonts w:ascii="宋体" w:hAnsi="宋体"/>
                <w:sz w:val="18"/>
              </w:rPr>
            </w:pPr>
            <w:r>
              <w:rPr>
                <w:rFonts w:ascii="宋体" w:hAnsi="宋体"/>
                <w:sz w:val="18"/>
              </w:rPr>
              <w:t>用钢尺分别测量纵横方向，取大值</w:t>
            </w:r>
          </w:p>
        </w:tc>
      </w:tr>
    </w:tbl>
    <w:p w:rsidR="00B513DC" w:rsidRDefault="0057285D">
      <w:pPr>
        <w:pStyle w:val="aff4"/>
        <w:spacing w:before="156" w:after="156"/>
        <w:rPr>
          <w:kern w:val="2"/>
          <w:szCs w:val="21"/>
        </w:rPr>
      </w:pPr>
      <w:r>
        <w:t>铝合金</w:t>
      </w:r>
      <w:proofErr w:type="gramStart"/>
      <w:r>
        <w:t>连系</w:t>
      </w:r>
      <w:proofErr w:type="gramEnd"/>
      <w:r>
        <w:t>框架</w:t>
      </w:r>
    </w:p>
    <w:p w:rsidR="00B513DC" w:rsidRDefault="0057285D">
      <w:pPr>
        <w:pStyle w:val="afffff2"/>
        <w:ind w:firstLine="420"/>
        <w:rPr>
          <w:kern w:val="2"/>
          <w:szCs w:val="21"/>
        </w:rPr>
      </w:pPr>
      <w:r>
        <w:lastRenderedPageBreak/>
        <w:t>铝合金</w:t>
      </w:r>
      <w:proofErr w:type="gramStart"/>
      <w:r>
        <w:t>连系</w:t>
      </w:r>
      <w:proofErr w:type="gramEnd"/>
      <w:r>
        <w:t>框架的允许偏差、检验数量和方法应符合表</w:t>
      </w:r>
      <w:r>
        <w:rPr>
          <w:rFonts w:hint="eastAsia"/>
        </w:rPr>
        <w:t>B</w:t>
      </w:r>
      <w:r>
        <w:t>.4的规定。</w:t>
      </w:r>
    </w:p>
    <w:p w:rsidR="00B513DC" w:rsidRDefault="0057285D">
      <w:pPr>
        <w:pStyle w:val="aff"/>
        <w:spacing w:before="156" w:after="156"/>
      </w:pPr>
      <w:r>
        <w:rPr>
          <w:rFonts w:hint="eastAsia"/>
        </w:rPr>
        <w:t>铝合金</w:t>
      </w:r>
      <w:proofErr w:type="gramStart"/>
      <w:r>
        <w:rPr>
          <w:rFonts w:hint="eastAsia"/>
        </w:rPr>
        <w:t>连系</w:t>
      </w:r>
      <w:proofErr w:type="gramEnd"/>
      <w:r>
        <w:rPr>
          <w:rFonts w:hint="eastAsia"/>
        </w:rPr>
        <w:t>框架的允许偏差、检验数量和方法</w:t>
      </w:r>
    </w:p>
    <w:tbl>
      <w:tblPr>
        <w:tblStyle w:val="a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701"/>
        <w:gridCol w:w="1701"/>
        <w:gridCol w:w="1275"/>
        <w:gridCol w:w="1276"/>
        <w:gridCol w:w="2398"/>
      </w:tblGrid>
      <w:tr w:rsidR="00B513DC">
        <w:trPr>
          <w:tblHeader/>
          <w:jc w:val="center"/>
        </w:trPr>
        <w:tc>
          <w:tcPr>
            <w:tcW w:w="983" w:type="dxa"/>
            <w:tcBorders>
              <w:top w:val="single" w:sz="8" w:space="0" w:color="auto"/>
              <w:bottom w:val="single" w:sz="8" w:space="0" w:color="auto"/>
            </w:tcBorders>
            <w:shd w:val="clear" w:color="auto" w:fill="auto"/>
            <w:vAlign w:val="center"/>
          </w:tcPr>
          <w:p w:rsidR="00B513DC" w:rsidRDefault="0057285D">
            <w:pPr>
              <w:pStyle w:val="afffffffff6"/>
              <w:rPr>
                <w:rFonts w:hAnsi="宋体"/>
                <w:szCs w:val="18"/>
              </w:rPr>
            </w:pPr>
            <w:r>
              <w:rPr>
                <w:rFonts w:hAnsi="宋体" w:hint="eastAsia"/>
                <w:szCs w:val="18"/>
              </w:rPr>
              <w:t>序号</w:t>
            </w:r>
          </w:p>
        </w:tc>
        <w:tc>
          <w:tcPr>
            <w:tcW w:w="1701"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项目</w:t>
            </w:r>
          </w:p>
        </w:tc>
        <w:tc>
          <w:tcPr>
            <w:tcW w:w="1701"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允许偏差（mm）</w:t>
            </w:r>
          </w:p>
        </w:tc>
        <w:tc>
          <w:tcPr>
            <w:tcW w:w="1275"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检验数量</w:t>
            </w:r>
          </w:p>
        </w:tc>
        <w:tc>
          <w:tcPr>
            <w:tcW w:w="1276"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单元测点</w:t>
            </w:r>
          </w:p>
        </w:tc>
        <w:tc>
          <w:tcPr>
            <w:tcW w:w="2398"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检验方法</w:t>
            </w:r>
          </w:p>
        </w:tc>
      </w:tr>
      <w:tr w:rsidR="00B513DC">
        <w:trPr>
          <w:jc w:val="center"/>
        </w:trPr>
        <w:tc>
          <w:tcPr>
            <w:tcW w:w="983" w:type="dxa"/>
            <w:tcBorders>
              <w:top w:val="single" w:sz="8" w:space="0" w:color="auto"/>
            </w:tcBorders>
            <w:shd w:val="clear" w:color="auto" w:fill="auto"/>
            <w:vAlign w:val="center"/>
          </w:tcPr>
          <w:p w:rsidR="00B513DC" w:rsidRDefault="0057285D">
            <w:pPr>
              <w:pStyle w:val="afffffffff6"/>
              <w:rPr>
                <w:rFonts w:hAnsi="宋体"/>
                <w:szCs w:val="18"/>
              </w:rPr>
            </w:pPr>
            <w:r>
              <w:rPr>
                <w:rFonts w:hAnsi="宋体" w:hint="eastAsia"/>
                <w:szCs w:val="18"/>
              </w:rPr>
              <w:t>1</w:t>
            </w:r>
          </w:p>
        </w:tc>
        <w:tc>
          <w:tcPr>
            <w:tcW w:w="1701"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长度</w:t>
            </w:r>
          </w:p>
        </w:tc>
        <w:tc>
          <w:tcPr>
            <w:tcW w:w="1701"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±5</w:t>
            </w:r>
          </w:p>
        </w:tc>
        <w:tc>
          <w:tcPr>
            <w:tcW w:w="1275" w:type="dxa"/>
            <w:tcBorders>
              <w:top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逐件检查</w:t>
            </w:r>
          </w:p>
        </w:tc>
        <w:tc>
          <w:tcPr>
            <w:tcW w:w="1276"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2398"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用钢尺测量两侧</w:t>
            </w:r>
          </w:p>
        </w:tc>
      </w:tr>
      <w:tr w:rsidR="00B513DC">
        <w:trPr>
          <w:jc w:val="center"/>
        </w:trPr>
        <w:tc>
          <w:tcPr>
            <w:tcW w:w="983" w:type="dxa"/>
            <w:shd w:val="clear" w:color="auto" w:fill="auto"/>
            <w:vAlign w:val="center"/>
          </w:tcPr>
          <w:p w:rsidR="00B513DC" w:rsidRDefault="0057285D">
            <w:pPr>
              <w:pStyle w:val="afffffffff6"/>
              <w:rPr>
                <w:rFonts w:hAnsi="宋体"/>
                <w:szCs w:val="18"/>
              </w:rPr>
            </w:pPr>
            <w:r>
              <w:rPr>
                <w:rFonts w:hAnsi="宋体" w:hint="eastAsia"/>
                <w:szCs w:val="18"/>
              </w:rPr>
              <w:t>2</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宽度</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±3</w:t>
            </w:r>
          </w:p>
        </w:tc>
        <w:tc>
          <w:tcPr>
            <w:tcW w:w="1275" w:type="dxa"/>
            <w:vMerge w:val="restart"/>
            <w:shd w:val="clear" w:color="auto" w:fill="auto"/>
            <w:vAlign w:val="center"/>
          </w:tcPr>
          <w:p w:rsidR="00B513DC" w:rsidRDefault="0057285D">
            <w:pPr>
              <w:pStyle w:val="afffffffff6"/>
              <w:rPr>
                <w:rFonts w:hAnsi="宋体"/>
                <w:szCs w:val="18"/>
              </w:rPr>
            </w:pPr>
            <w:r>
              <w:rPr>
                <w:rFonts w:hAnsi="宋体"/>
                <w:szCs w:val="18"/>
              </w:rPr>
              <w:t>逐件检查</w:t>
            </w:r>
          </w:p>
        </w:tc>
        <w:tc>
          <w:tcPr>
            <w:tcW w:w="1276"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2398"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用钢尺测量两侧</w:t>
            </w:r>
          </w:p>
        </w:tc>
      </w:tr>
      <w:tr w:rsidR="00B513DC">
        <w:trPr>
          <w:jc w:val="center"/>
        </w:trPr>
        <w:tc>
          <w:tcPr>
            <w:tcW w:w="983" w:type="dxa"/>
            <w:shd w:val="clear" w:color="auto" w:fill="auto"/>
            <w:vAlign w:val="center"/>
          </w:tcPr>
          <w:p w:rsidR="00B513DC" w:rsidRDefault="0057285D">
            <w:pPr>
              <w:pStyle w:val="afffffffff6"/>
              <w:rPr>
                <w:rFonts w:hAnsi="宋体"/>
                <w:szCs w:val="18"/>
              </w:rPr>
            </w:pPr>
            <w:r>
              <w:rPr>
                <w:rFonts w:hAnsi="宋体" w:hint="eastAsia"/>
                <w:szCs w:val="18"/>
              </w:rPr>
              <w:t>3</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对角线差</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10(6</w:t>
            </w:r>
            <w:r w:rsidR="009B1A3D">
              <w:rPr>
                <w:rFonts w:ascii="MS Gothic" w:eastAsia="MS Gothic" w:hAnsi="MS Gothic" w:cs="MS Gothic"/>
              </w:rPr>
              <w:t> </w:t>
            </w:r>
            <w:r>
              <w:rPr>
                <w:rFonts w:ascii="宋体" w:hAnsi="宋体"/>
                <w:sz w:val="18"/>
                <w:szCs w:val="18"/>
              </w:rPr>
              <w:t>m)15(12</w:t>
            </w:r>
            <w:r w:rsidR="009B1A3D">
              <w:rPr>
                <w:rFonts w:ascii="MS Gothic" w:eastAsia="MS Gothic" w:hAnsi="MS Gothic" w:cs="MS Gothic"/>
              </w:rPr>
              <w:t> </w:t>
            </w:r>
            <w:r>
              <w:rPr>
                <w:rFonts w:ascii="宋体" w:hAnsi="宋体"/>
                <w:sz w:val="18"/>
                <w:szCs w:val="18"/>
              </w:rPr>
              <w:t>m)</w:t>
            </w:r>
          </w:p>
        </w:tc>
        <w:tc>
          <w:tcPr>
            <w:tcW w:w="1275" w:type="dxa"/>
            <w:vMerge/>
            <w:shd w:val="clear" w:color="auto" w:fill="auto"/>
            <w:vAlign w:val="center"/>
          </w:tcPr>
          <w:p w:rsidR="00B513DC" w:rsidRDefault="00B513DC">
            <w:pPr>
              <w:pStyle w:val="afffffffff6"/>
              <w:rPr>
                <w:rFonts w:hAnsi="宋体"/>
                <w:szCs w:val="18"/>
              </w:rPr>
            </w:pPr>
          </w:p>
        </w:tc>
        <w:tc>
          <w:tcPr>
            <w:tcW w:w="1276"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w:t>
            </w:r>
          </w:p>
        </w:tc>
        <w:tc>
          <w:tcPr>
            <w:tcW w:w="2398"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用钢尺测量</w:t>
            </w:r>
          </w:p>
        </w:tc>
      </w:tr>
      <w:tr w:rsidR="00B513DC">
        <w:trPr>
          <w:jc w:val="center"/>
        </w:trPr>
        <w:tc>
          <w:tcPr>
            <w:tcW w:w="983" w:type="dxa"/>
            <w:shd w:val="clear" w:color="auto" w:fill="auto"/>
            <w:vAlign w:val="center"/>
          </w:tcPr>
          <w:p w:rsidR="00B513DC" w:rsidRDefault="0057285D">
            <w:pPr>
              <w:pStyle w:val="afffffffff6"/>
              <w:rPr>
                <w:rFonts w:hAnsi="宋体"/>
                <w:szCs w:val="18"/>
              </w:rPr>
            </w:pPr>
            <w:r>
              <w:rPr>
                <w:rFonts w:hAnsi="宋体" w:hint="eastAsia"/>
                <w:szCs w:val="18"/>
              </w:rPr>
              <w:t>4</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弯曲矢高</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L/1000且不大于10</w:t>
            </w:r>
          </w:p>
        </w:tc>
        <w:tc>
          <w:tcPr>
            <w:tcW w:w="1275" w:type="dxa"/>
            <w:vMerge/>
            <w:shd w:val="clear" w:color="auto" w:fill="auto"/>
            <w:vAlign w:val="center"/>
          </w:tcPr>
          <w:p w:rsidR="00B513DC" w:rsidRDefault="00B513DC">
            <w:pPr>
              <w:pStyle w:val="afffffffff6"/>
              <w:rPr>
                <w:rFonts w:hAnsi="宋体"/>
                <w:szCs w:val="18"/>
              </w:rPr>
            </w:pPr>
          </w:p>
        </w:tc>
        <w:tc>
          <w:tcPr>
            <w:tcW w:w="1276"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2398"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拉线用钢尺测量两侧</w:t>
            </w:r>
          </w:p>
        </w:tc>
      </w:tr>
      <w:tr w:rsidR="00B513DC">
        <w:trPr>
          <w:jc w:val="center"/>
        </w:trPr>
        <w:tc>
          <w:tcPr>
            <w:tcW w:w="983" w:type="dxa"/>
            <w:shd w:val="clear" w:color="auto" w:fill="auto"/>
            <w:vAlign w:val="center"/>
          </w:tcPr>
          <w:p w:rsidR="00B513DC" w:rsidRDefault="0057285D">
            <w:pPr>
              <w:pStyle w:val="afffffffff6"/>
              <w:rPr>
                <w:rFonts w:hAnsi="宋体"/>
                <w:szCs w:val="18"/>
              </w:rPr>
            </w:pPr>
            <w:r>
              <w:rPr>
                <w:rFonts w:hAnsi="宋体" w:hint="eastAsia"/>
                <w:szCs w:val="18"/>
              </w:rPr>
              <w:t>5</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翘曲高度</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r>
              <w:rPr>
                <w:rFonts w:ascii="MS Gothic" w:hAnsi="MS Gothic" w:cs="MS Gothic"/>
                <w:sz w:val="18"/>
                <w:szCs w:val="18"/>
              </w:rPr>
              <w:t> </w:t>
            </w:r>
            <w:r>
              <w:rPr>
                <w:rFonts w:ascii="宋体" w:hAnsi="宋体"/>
                <w:sz w:val="18"/>
                <w:szCs w:val="18"/>
              </w:rPr>
              <w:t>L/1000且不大于10</w:t>
            </w:r>
          </w:p>
        </w:tc>
        <w:tc>
          <w:tcPr>
            <w:tcW w:w="1275" w:type="dxa"/>
            <w:vMerge/>
            <w:shd w:val="clear" w:color="auto" w:fill="auto"/>
            <w:vAlign w:val="center"/>
          </w:tcPr>
          <w:p w:rsidR="00B513DC" w:rsidRDefault="00B513DC">
            <w:pPr>
              <w:pStyle w:val="afffffffff6"/>
              <w:rPr>
                <w:rFonts w:hAnsi="宋体"/>
                <w:szCs w:val="18"/>
              </w:rPr>
            </w:pPr>
          </w:p>
        </w:tc>
        <w:tc>
          <w:tcPr>
            <w:tcW w:w="1276"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2398"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平台上三点着地，钢尺测量翘起角高度</w:t>
            </w:r>
          </w:p>
        </w:tc>
      </w:tr>
      <w:tr w:rsidR="00B513DC">
        <w:trPr>
          <w:jc w:val="center"/>
        </w:trPr>
        <w:tc>
          <w:tcPr>
            <w:tcW w:w="9334" w:type="dxa"/>
            <w:gridSpan w:val="6"/>
            <w:shd w:val="clear" w:color="auto" w:fill="auto"/>
            <w:vAlign w:val="center"/>
          </w:tcPr>
          <w:p w:rsidR="00B513DC" w:rsidRDefault="0057285D">
            <w:pPr>
              <w:pStyle w:val="afff2"/>
              <w:rPr>
                <w:kern w:val="2"/>
                <w:sz w:val="21"/>
                <w:szCs w:val="21"/>
              </w:rPr>
            </w:pPr>
            <w:r>
              <w:t>L为铝合金</w:t>
            </w:r>
            <w:proofErr w:type="gramStart"/>
            <w:r>
              <w:t>连系</w:t>
            </w:r>
            <w:proofErr w:type="gramEnd"/>
            <w:r>
              <w:t>框架结构长度，单位为mm。</w:t>
            </w:r>
          </w:p>
        </w:tc>
      </w:tr>
    </w:tbl>
    <w:p w:rsidR="00B513DC" w:rsidRDefault="0057285D">
      <w:pPr>
        <w:pStyle w:val="aff4"/>
        <w:spacing w:before="156" w:after="156"/>
        <w:rPr>
          <w:kern w:val="2"/>
          <w:szCs w:val="21"/>
        </w:rPr>
      </w:pPr>
      <w:r>
        <w:t>浮桥整体连接</w:t>
      </w:r>
    </w:p>
    <w:p w:rsidR="00B513DC" w:rsidRDefault="0057285D">
      <w:pPr>
        <w:pStyle w:val="afffff2"/>
        <w:ind w:firstLine="420"/>
      </w:pPr>
      <w:r>
        <w:t>浮桥整体连接的允许偏差、检验数量和方法应符合表</w:t>
      </w:r>
      <w:r>
        <w:rPr>
          <w:rFonts w:hint="eastAsia"/>
        </w:rPr>
        <w:t>B</w:t>
      </w:r>
      <w:r>
        <w:t>.5的规定。</w:t>
      </w:r>
    </w:p>
    <w:p w:rsidR="00B513DC" w:rsidRDefault="0057285D">
      <w:pPr>
        <w:pStyle w:val="aff"/>
        <w:spacing w:before="156" w:after="156"/>
      </w:pPr>
      <w:r>
        <w:rPr>
          <w:rFonts w:hint="eastAsia"/>
        </w:rPr>
        <w:t>浮桥单元组装的允许偏差、检验数量和方法</w:t>
      </w:r>
    </w:p>
    <w:tbl>
      <w:tblPr>
        <w:tblStyle w:val="a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8"/>
        <w:gridCol w:w="1277"/>
        <w:gridCol w:w="850"/>
        <w:gridCol w:w="993"/>
        <w:gridCol w:w="1701"/>
        <w:gridCol w:w="1275"/>
        <w:gridCol w:w="993"/>
        <w:gridCol w:w="1547"/>
      </w:tblGrid>
      <w:tr w:rsidR="00B513DC">
        <w:trPr>
          <w:tblHeader/>
          <w:jc w:val="center"/>
        </w:trPr>
        <w:tc>
          <w:tcPr>
            <w:tcW w:w="698" w:type="dxa"/>
            <w:tcBorders>
              <w:top w:val="single" w:sz="8" w:space="0" w:color="auto"/>
              <w:bottom w:val="single" w:sz="8" w:space="0" w:color="auto"/>
            </w:tcBorders>
            <w:shd w:val="clear" w:color="auto" w:fill="auto"/>
            <w:vAlign w:val="center"/>
          </w:tcPr>
          <w:p w:rsidR="00B513DC" w:rsidRDefault="0057285D">
            <w:pPr>
              <w:pStyle w:val="afffffffff6"/>
              <w:rPr>
                <w:rFonts w:hAnsi="宋体"/>
                <w:szCs w:val="18"/>
              </w:rPr>
            </w:pPr>
            <w:r>
              <w:rPr>
                <w:rFonts w:hAnsi="宋体" w:hint="eastAsia"/>
                <w:szCs w:val="18"/>
              </w:rPr>
              <w:t>序号</w:t>
            </w:r>
          </w:p>
        </w:tc>
        <w:tc>
          <w:tcPr>
            <w:tcW w:w="3120" w:type="dxa"/>
            <w:gridSpan w:val="3"/>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项目</w:t>
            </w:r>
          </w:p>
        </w:tc>
        <w:tc>
          <w:tcPr>
            <w:tcW w:w="1701"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允许偏差（mm）</w:t>
            </w:r>
          </w:p>
        </w:tc>
        <w:tc>
          <w:tcPr>
            <w:tcW w:w="1275"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检验数量</w:t>
            </w:r>
          </w:p>
        </w:tc>
        <w:tc>
          <w:tcPr>
            <w:tcW w:w="993"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单元测点</w:t>
            </w:r>
          </w:p>
        </w:tc>
        <w:tc>
          <w:tcPr>
            <w:tcW w:w="1547"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检验方法</w:t>
            </w:r>
          </w:p>
        </w:tc>
      </w:tr>
      <w:tr w:rsidR="00B513DC">
        <w:trPr>
          <w:jc w:val="center"/>
        </w:trPr>
        <w:tc>
          <w:tcPr>
            <w:tcW w:w="698" w:type="dxa"/>
            <w:vMerge w:val="restart"/>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w:t>
            </w:r>
          </w:p>
        </w:tc>
        <w:tc>
          <w:tcPr>
            <w:tcW w:w="1277" w:type="dxa"/>
            <w:vMerge w:val="restart"/>
            <w:tcBorders>
              <w:top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相邻两单元顶</w:t>
            </w:r>
          </w:p>
          <w:p w:rsidR="00B513DC" w:rsidRDefault="0057285D">
            <w:pPr>
              <w:jc w:val="center"/>
              <w:rPr>
                <w:rFonts w:ascii="宋体" w:hAnsi="宋体"/>
                <w:sz w:val="18"/>
                <w:szCs w:val="18"/>
              </w:rPr>
            </w:pPr>
            <w:proofErr w:type="gramStart"/>
            <w:r>
              <w:rPr>
                <w:rFonts w:ascii="宋体" w:hAnsi="宋体"/>
                <w:sz w:val="18"/>
                <w:szCs w:val="18"/>
              </w:rPr>
              <w:t>面位置</w:t>
            </w:r>
            <w:proofErr w:type="gramEnd"/>
            <w:r>
              <w:rPr>
                <w:rFonts w:ascii="宋体" w:hAnsi="宋体"/>
                <w:sz w:val="18"/>
                <w:szCs w:val="18"/>
              </w:rPr>
              <w:t>错台</w:t>
            </w:r>
          </w:p>
        </w:tc>
        <w:tc>
          <w:tcPr>
            <w:tcW w:w="1843" w:type="dxa"/>
            <w:gridSpan w:val="2"/>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框架连接</w:t>
            </w:r>
          </w:p>
        </w:tc>
        <w:tc>
          <w:tcPr>
            <w:tcW w:w="1701"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1275" w:type="dxa"/>
            <w:vMerge w:val="restart"/>
            <w:tcBorders>
              <w:top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逐个单元检查</w:t>
            </w:r>
          </w:p>
        </w:tc>
        <w:tc>
          <w:tcPr>
            <w:tcW w:w="993" w:type="dxa"/>
            <w:vMerge w:val="restart"/>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w:t>
            </w:r>
          </w:p>
        </w:tc>
        <w:tc>
          <w:tcPr>
            <w:tcW w:w="1547" w:type="dxa"/>
            <w:vMerge w:val="restart"/>
            <w:tcBorders>
              <w:top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靠尺，塞尺测量，取大值</w:t>
            </w:r>
          </w:p>
        </w:tc>
      </w:tr>
      <w:tr w:rsidR="00B513DC">
        <w:trPr>
          <w:jc w:val="center"/>
        </w:trPr>
        <w:tc>
          <w:tcPr>
            <w:tcW w:w="698" w:type="dxa"/>
            <w:vMerge/>
            <w:shd w:val="clear" w:color="auto" w:fill="auto"/>
            <w:vAlign w:val="center"/>
          </w:tcPr>
          <w:p w:rsidR="00B513DC" w:rsidRDefault="00B513DC">
            <w:pPr>
              <w:pStyle w:val="afffffffff6"/>
              <w:rPr>
                <w:rFonts w:hAnsi="宋体"/>
                <w:szCs w:val="18"/>
              </w:rPr>
            </w:pPr>
          </w:p>
        </w:tc>
        <w:tc>
          <w:tcPr>
            <w:tcW w:w="1277" w:type="dxa"/>
            <w:vMerge/>
            <w:shd w:val="clear" w:color="auto" w:fill="auto"/>
            <w:vAlign w:val="center"/>
          </w:tcPr>
          <w:p w:rsidR="00B513DC" w:rsidRDefault="00B513DC">
            <w:pPr>
              <w:spacing w:line="300" w:lineRule="exact"/>
              <w:jc w:val="center"/>
              <w:rPr>
                <w:rFonts w:ascii="宋体" w:hAnsi="宋体"/>
                <w:sz w:val="18"/>
                <w:szCs w:val="18"/>
              </w:rPr>
            </w:pPr>
          </w:p>
        </w:tc>
        <w:tc>
          <w:tcPr>
            <w:tcW w:w="1843" w:type="dxa"/>
            <w:gridSpan w:val="2"/>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非框架连接</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5</w:t>
            </w:r>
          </w:p>
        </w:tc>
        <w:tc>
          <w:tcPr>
            <w:tcW w:w="1275" w:type="dxa"/>
            <w:vMerge/>
            <w:shd w:val="clear" w:color="auto" w:fill="auto"/>
            <w:vAlign w:val="center"/>
          </w:tcPr>
          <w:p w:rsidR="00B513DC" w:rsidRDefault="00B513DC">
            <w:pPr>
              <w:pStyle w:val="afffffffff6"/>
              <w:rPr>
                <w:rFonts w:hAnsi="宋体"/>
                <w:szCs w:val="18"/>
              </w:rPr>
            </w:pPr>
          </w:p>
        </w:tc>
        <w:tc>
          <w:tcPr>
            <w:tcW w:w="993" w:type="dxa"/>
            <w:vMerge/>
            <w:shd w:val="clear" w:color="auto" w:fill="auto"/>
            <w:vAlign w:val="center"/>
          </w:tcPr>
          <w:p w:rsidR="00B513DC" w:rsidRDefault="00B513DC">
            <w:pPr>
              <w:spacing w:line="300" w:lineRule="exact"/>
              <w:jc w:val="center"/>
              <w:rPr>
                <w:rFonts w:ascii="宋体" w:hAnsi="宋体"/>
                <w:sz w:val="18"/>
                <w:szCs w:val="18"/>
              </w:rPr>
            </w:pPr>
          </w:p>
        </w:tc>
        <w:tc>
          <w:tcPr>
            <w:tcW w:w="1547" w:type="dxa"/>
            <w:vMerge/>
            <w:shd w:val="clear" w:color="auto" w:fill="auto"/>
            <w:vAlign w:val="center"/>
          </w:tcPr>
          <w:p w:rsidR="00B513DC" w:rsidRDefault="00B513DC">
            <w:pPr>
              <w:spacing w:line="300" w:lineRule="exact"/>
              <w:jc w:val="center"/>
              <w:rPr>
                <w:rFonts w:ascii="宋体" w:hAnsi="宋体"/>
                <w:sz w:val="18"/>
                <w:szCs w:val="18"/>
              </w:rPr>
            </w:pPr>
          </w:p>
        </w:tc>
      </w:tr>
      <w:tr w:rsidR="00B513DC">
        <w:trPr>
          <w:jc w:val="center"/>
        </w:trPr>
        <w:tc>
          <w:tcPr>
            <w:tcW w:w="698" w:type="dxa"/>
            <w:vMerge w:val="restart"/>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1277" w:type="dxa"/>
            <w:vMerge w:val="restart"/>
            <w:shd w:val="clear" w:color="auto" w:fill="auto"/>
            <w:vAlign w:val="center"/>
          </w:tcPr>
          <w:p w:rsidR="00B513DC" w:rsidRDefault="0057285D">
            <w:pPr>
              <w:jc w:val="center"/>
              <w:rPr>
                <w:rFonts w:ascii="宋体" w:hAnsi="宋体"/>
                <w:sz w:val="18"/>
                <w:szCs w:val="18"/>
              </w:rPr>
            </w:pPr>
            <w:r>
              <w:rPr>
                <w:rFonts w:ascii="宋体" w:hAnsi="宋体"/>
                <w:sz w:val="18"/>
                <w:szCs w:val="18"/>
              </w:rPr>
              <w:t>相邻两单元</w:t>
            </w:r>
          </w:p>
          <w:p w:rsidR="00B513DC" w:rsidRDefault="0057285D">
            <w:pPr>
              <w:jc w:val="center"/>
              <w:rPr>
                <w:rFonts w:ascii="宋体" w:hAnsi="宋体"/>
                <w:sz w:val="18"/>
                <w:szCs w:val="18"/>
              </w:rPr>
            </w:pPr>
            <w:r>
              <w:rPr>
                <w:rFonts w:ascii="宋体" w:hAnsi="宋体"/>
                <w:sz w:val="18"/>
                <w:szCs w:val="18"/>
              </w:rPr>
              <w:t>侧边线错台</w:t>
            </w:r>
          </w:p>
        </w:tc>
        <w:tc>
          <w:tcPr>
            <w:tcW w:w="1843" w:type="dxa"/>
            <w:gridSpan w:val="2"/>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单排浮箱</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1275" w:type="dxa"/>
            <w:vMerge/>
            <w:shd w:val="clear" w:color="auto" w:fill="auto"/>
            <w:vAlign w:val="center"/>
          </w:tcPr>
          <w:p w:rsidR="00B513DC" w:rsidRDefault="00B513DC">
            <w:pPr>
              <w:pStyle w:val="afffffffff6"/>
              <w:rPr>
                <w:rFonts w:hAnsi="宋体"/>
                <w:szCs w:val="18"/>
              </w:rPr>
            </w:pPr>
          </w:p>
        </w:tc>
        <w:tc>
          <w:tcPr>
            <w:tcW w:w="99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w:t>
            </w:r>
          </w:p>
        </w:tc>
        <w:tc>
          <w:tcPr>
            <w:tcW w:w="1547" w:type="dxa"/>
            <w:vMerge/>
            <w:shd w:val="clear" w:color="auto" w:fill="auto"/>
            <w:vAlign w:val="center"/>
          </w:tcPr>
          <w:p w:rsidR="00B513DC" w:rsidRDefault="00B513DC">
            <w:pPr>
              <w:spacing w:line="300" w:lineRule="exact"/>
              <w:jc w:val="center"/>
              <w:rPr>
                <w:rFonts w:ascii="宋体" w:hAnsi="宋体"/>
                <w:sz w:val="18"/>
                <w:szCs w:val="18"/>
              </w:rPr>
            </w:pPr>
          </w:p>
        </w:tc>
      </w:tr>
      <w:tr w:rsidR="00B513DC">
        <w:trPr>
          <w:trHeight w:val="255"/>
          <w:jc w:val="center"/>
        </w:trPr>
        <w:tc>
          <w:tcPr>
            <w:tcW w:w="698" w:type="dxa"/>
            <w:vMerge/>
            <w:shd w:val="clear" w:color="auto" w:fill="auto"/>
            <w:vAlign w:val="center"/>
          </w:tcPr>
          <w:p w:rsidR="00B513DC" w:rsidRDefault="00B513DC">
            <w:pPr>
              <w:pStyle w:val="afffffffff6"/>
              <w:rPr>
                <w:rFonts w:hAnsi="宋体"/>
                <w:szCs w:val="18"/>
              </w:rPr>
            </w:pPr>
          </w:p>
        </w:tc>
        <w:tc>
          <w:tcPr>
            <w:tcW w:w="1277" w:type="dxa"/>
            <w:vMerge/>
            <w:shd w:val="clear" w:color="auto" w:fill="auto"/>
            <w:vAlign w:val="center"/>
          </w:tcPr>
          <w:p w:rsidR="00B513DC" w:rsidRDefault="00B513DC">
            <w:pPr>
              <w:spacing w:line="300" w:lineRule="exact"/>
              <w:jc w:val="center"/>
              <w:rPr>
                <w:rFonts w:ascii="宋体" w:hAnsi="宋体"/>
                <w:sz w:val="18"/>
                <w:szCs w:val="18"/>
              </w:rPr>
            </w:pPr>
          </w:p>
        </w:tc>
        <w:tc>
          <w:tcPr>
            <w:tcW w:w="850" w:type="dxa"/>
            <w:vMerge w:val="restart"/>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非框架</w:t>
            </w:r>
          </w:p>
          <w:p w:rsidR="00B513DC" w:rsidRDefault="0057285D">
            <w:pPr>
              <w:spacing w:line="300" w:lineRule="exact"/>
              <w:jc w:val="center"/>
              <w:rPr>
                <w:rFonts w:ascii="宋体" w:hAnsi="宋体"/>
                <w:sz w:val="18"/>
                <w:szCs w:val="18"/>
              </w:rPr>
            </w:pPr>
            <w:r>
              <w:rPr>
                <w:rFonts w:ascii="宋体" w:hAnsi="宋体"/>
                <w:sz w:val="18"/>
                <w:szCs w:val="18"/>
              </w:rPr>
              <w:t>连接</w:t>
            </w:r>
          </w:p>
        </w:tc>
        <w:tc>
          <w:tcPr>
            <w:tcW w:w="99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宽度≤3</w:t>
            </w:r>
            <w:r>
              <w:rPr>
                <w:rFonts w:ascii="MS Gothic" w:hAnsi="MS Gothic" w:cs="MS Gothic"/>
                <w:sz w:val="18"/>
                <w:szCs w:val="18"/>
              </w:rPr>
              <w:t> </w:t>
            </w:r>
            <w:r>
              <w:rPr>
                <w:rFonts w:ascii="宋体" w:hAnsi="宋体"/>
                <w:sz w:val="18"/>
                <w:szCs w:val="18"/>
              </w:rPr>
              <w:t>m</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8</w:t>
            </w:r>
          </w:p>
        </w:tc>
        <w:tc>
          <w:tcPr>
            <w:tcW w:w="1275" w:type="dxa"/>
            <w:vMerge/>
            <w:shd w:val="clear" w:color="auto" w:fill="auto"/>
            <w:vAlign w:val="center"/>
          </w:tcPr>
          <w:p w:rsidR="00B513DC" w:rsidRDefault="00B513DC">
            <w:pPr>
              <w:pStyle w:val="afffffffff6"/>
              <w:rPr>
                <w:rFonts w:hAnsi="宋体"/>
                <w:szCs w:val="18"/>
              </w:rPr>
            </w:pPr>
          </w:p>
        </w:tc>
        <w:tc>
          <w:tcPr>
            <w:tcW w:w="99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w:t>
            </w:r>
          </w:p>
        </w:tc>
        <w:tc>
          <w:tcPr>
            <w:tcW w:w="1547" w:type="dxa"/>
            <w:vMerge/>
            <w:shd w:val="clear" w:color="auto" w:fill="auto"/>
            <w:vAlign w:val="center"/>
          </w:tcPr>
          <w:p w:rsidR="00B513DC" w:rsidRDefault="00B513DC">
            <w:pPr>
              <w:spacing w:line="300" w:lineRule="exact"/>
              <w:jc w:val="center"/>
              <w:rPr>
                <w:rFonts w:ascii="宋体" w:hAnsi="宋体"/>
                <w:sz w:val="18"/>
                <w:szCs w:val="18"/>
              </w:rPr>
            </w:pPr>
          </w:p>
        </w:tc>
      </w:tr>
      <w:tr w:rsidR="00B513DC">
        <w:trPr>
          <w:trHeight w:val="255"/>
          <w:jc w:val="center"/>
        </w:trPr>
        <w:tc>
          <w:tcPr>
            <w:tcW w:w="698" w:type="dxa"/>
            <w:vMerge/>
            <w:shd w:val="clear" w:color="auto" w:fill="auto"/>
            <w:vAlign w:val="center"/>
          </w:tcPr>
          <w:p w:rsidR="00B513DC" w:rsidRDefault="00B513DC">
            <w:pPr>
              <w:pStyle w:val="afffffffff6"/>
              <w:rPr>
                <w:rFonts w:hAnsi="宋体"/>
                <w:szCs w:val="18"/>
              </w:rPr>
            </w:pPr>
          </w:p>
        </w:tc>
        <w:tc>
          <w:tcPr>
            <w:tcW w:w="1277" w:type="dxa"/>
            <w:vMerge/>
            <w:shd w:val="clear" w:color="auto" w:fill="auto"/>
            <w:vAlign w:val="center"/>
          </w:tcPr>
          <w:p w:rsidR="00B513DC" w:rsidRDefault="00B513DC">
            <w:pPr>
              <w:spacing w:line="300" w:lineRule="exact"/>
              <w:jc w:val="center"/>
              <w:rPr>
                <w:rFonts w:ascii="宋体" w:hAnsi="宋体"/>
                <w:sz w:val="18"/>
                <w:szCs w:val="18"/>
              </w:rPr>
            </w:pPr>
          </w:p>
        </w:tc>
        <w:tc>
          <w:tcPr>
            <w:tcW w:w="850" w:type="dxa"/>
            <w:vMerge/>
            <w:shd w:val="clear" w:color="auto" w:fill="auto"/>
            <w:vAlign w:val="center"/>
          </w:tcPr>
          <w:p w:rsidR="00B513DC" w:rsidRDefault="00B513DC">
            <w:pPr>
              <w:spacing w:line="300" w:lineRule="exact"/>
              <w:jc w:val="center"/>
              <w:rPr>
                <w:rFonts w:ascii="宋体" w:hAnsi="宋体"/>
                <w:sz w:val="18"/>
                <w:szCs w:val="18"/>
              </w:rPr>
            </w:pPr>
          </w:p>
        </w:tc>
        <w:tc>
          <w:tcPr>
            <w:tcW w:w="99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宽度&gt;3</w:t>
            </w:r>
            <w:r>
              <w:rPr>
                <w:rFonts w:ascii="MS Gothic" w:hAnsi="MS Gothic" w:cs="MS Gothic"/>
                <w:sz w:val="18"/>
                <w:szCs w:val="18"/>
              </w:rPr>
              <w:t> </w:t>
            </w:r>
            <w:r>
              <w:rPr>
                <w:rFonts w:ascii="宋体" w:hAnsi="宋体"/>
                <w:sz w:val="18"/>
                <w:szCs w:val="18"/>
              </w:rPr>
              <w:t>m</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1275" w:type="dxa"/>
            <w:vMerge/>
            <w:shd w:val="clear" w:color="auto" w:fill="auto"/>
            <w:vAlign w:val="center"/>
          </w:tcPr>
          <w:p w:rsidR="00B513DC" w:rsidRDefault="00B513DC">
            <w:pPr>
              <w:pStyle w:val="afffffffff6"/>
              <w:rPr>
                <w:rFonts w:hAnsi="宋体"/>
                <w:szCs w:val="18"/>
              </w:rPr>
            </w:pPr>
          </w:p>
        </w:tc>
        <w:tc>
          <w:tcPr>
            <w:tcW w:w="99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hint="eastAsia"/>
                <w:sz w:val="18"/>
                <w:szCs w:val="18"/>
              </w:rPr>
              <w:t>1</w:t>
            </w:r>
          </w:p>
        </w:tc>
        <w:tc>
          <w:tcPr>
            <w:tcW w:w="1547" w:type="dxa"/>
            <w:vMerge/>
            <w:shd w:val="clear" w:color="auto" w:fill="auto"/>
            <w:vAlign w:val="center"/>
          </w:tcPr>
          <w:p w:rsidR="00B513DC" w:rsidRDefault="00B513DC">
            <w:pPr>
              <w:spacing w:line="300" w:lineRule="exact"/>
              <w:jc w:val="center"/>
              <w:rPr>
                <w:rFonts w:ascii="宋体" w:hAnsi="宋体"/>
                <w:sz w:val="18"/>
                <w:szCs w:val="18"/>
              </w:rPr>
            </w:pPr>
          </w:p>
        </w:tc>
      </w:tr>
      <w:tr w:rsidR="00B513DC">
        <w:trPr>
          <w:jc w:val="center"/>
        </w:trPr>
        <w:tc>
          <w:tcPr>
            <w:tcW w:w="698" w:type="dxa"/>
            <w:vMerge w:val="restart"/>
            <w:shd w:val="clear" w:color="auto" w:fill="auto"/>
            <w:vAlign w:val="center"/>
          </w:tcPr>
          <w:p w:rsidR="00B513DC" w:rsidRDefault="0057285D">
            <w:pPr>
              <w:pStyle w:val="afffffffff6"/>
              <w:rPr>
                <w:rFonts w:hAnsi="宋体"/>
                <w:szCs w:val="18"/>
              </w:rPr>
            </w:pPr>
            <w:r>
              <w:rPr>
                <w:rFonts w:hAnsi="宋体" w:hint="eastAsia"/>
                <w:szCs w:val="18"/>
              </w:rPr>
              <w:t>3</w:t>
            </w:r>
          </w:p>
        </w:tc>
        <w:tc>
          <w:tcPr>
            <w:tcW w:w="1277" w:type="dxa"/>
            <w:vMerge w:val="restart"/>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浮桥倾斜度</w:t>
            </w:r>
          </w:p>
        </w:tc>
        <w:tc>
          <w:tcPr>
            <w:tcW w:w="1843" w:type="dxa"/>
            <w:gridSpan w:val="2"/>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刚性连接</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3</w:t>
            </w:r>
            <w:r>
              <w:rPr>
                <w:rFonts w:ascii="MS Gothic" w:hAnsi="MS Gothic" w:cs="MS Gothic"/>
                <w:sz w:val="18"/>
                <w:szCs w:val="18"/>
              </w:rPr>
              <w:t> </w:t>
            </w:r>
            <w:r>
              <w:rPr>
                <w:rFonts w:ascii="宋体" w:hAnsi="宋体"/>
                <w:sz w:val="18"/>
                <w:szCs w:val="18"/>
              </w:rPr>
              <w:t>L</w:t>
            </w:r>
            <w:r>
              <w:rPr>
                <w:rFonts w:ascii="宋体" w:hAnsi="宋体"/>
                <w:sz w:val="18"/>
                <w:szCs w:val="18"/>
                <w:vertAlign w:val="subscript"/>
              </w:rPr>
              <w:t>1</w:t>
            </w:r>
            <w:r>
              <w:rPr>
                <w:rFonts w:ascii="宋体" w:hAnsi="宋体"/>
                <w:sz w:val="18"/>
                <w:szCs w:val="18"/>
              </w:rPr>
              <w:t>/1000，</w:t>
            </w:r>
          </w:p>
          <w:p w:rsidR="00B513DC" w:rsidRDefault="0057285D">
            <w:pPr>
              <w:spacing w:line="300" w:lineRule="exact"/>
              <w:jc w:val="center"/>
              <w:rPr>
                <w:rFonts w:ascii="宋体" w:hAnsi="宋体"/>
                <w:sz w:val="18"/>
                <w:szCs w:val="18"/>
              </w:rPr>
            </w:pPr>
            <w:r>
              <w:rPr>
                <w:rFonts w:ascii="宋体" w:hAnsi="宋体"/>
                <w:sz w:val="18"/>
                <w:szCs w:val="18"/>
              </w:rPr>
              <w:t>且不大于30</w:t>
            </w:r>
          </w:p>
        </w:tc>
        <w:tc>
          <w:tcPr>
            <w:tcW w:w="1275"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逐段检查</w:t>
            </w:r>
          </w:p>
        </w:tc>
        <w:tc>
          <w:tcPr>
            <w:tcW w:w="99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hint="eastAsia"/>
                <w:sz w:val="18"/>
                <w:szCs w:val="18"/>
              </w:rPr>
              <w:t>1</w:t>
            </w:r>
          </w:p>
        </w:tc>
        <w:tc>
          <w:tcPr>
            <w:tcW w:w="1547" w:type="dxa"/>
            <w:vMerge w:val="restart"/>
            <w:shd w:val="clear" w:color="auto" w:fill="auto"/>
            <w:vAlign w:val="center"/>
          </w:tcPr>
          <w:p w:rsidR="00B513DC" w:rsidRDefault="0057285D">
            <w:pPr>
              <w:jc w:val="center"/>
              <w:rPr>
                <w:rFonts w:ascii="宋体" w:hAnsi="宋体"/>
                <w:sz w:val="18"/>
                <w:szCs w:val="18"/>
              </w:rPr>
            </w:pPr>
            <w:r>
              <w:rPr>
                <w:rFonts w:ascii="宋体" w:hAnsi="宋体"/>
                <w:sz w:val="18"/>
                <w:szCs w:val="18"/>
              </w:rPr>
              <w:t>全站仪测量，测4个角点，最高与最低点高差</w:t>
            </w:r>
          </w:p>
        </w:tc>
      </w:tr>
      <w:tr w:rsidR="00B513DC">
        <w:trPr>
          <w:jc w:val="center"/>
        </w:trPr>
        <w:tc>
          <w:tcPr>
            <w:tcW w:w="698" w:type="dxa"/>
            <w:vMerge/>
            <w:shd w:val="clear" w:color="auto" w:fill="auto"/>
            <w:vAlign w:val="center"/>
          </w:tcPr>
          <w:p w:rsidR="00B513DC" w:rsidRDefault="00B513DC">
            <w:pPr>
              <w:pStyle w:val="afffffffff6"/>
              <w:rPr>
                <w:rFonts w:hAnsi="宋体"/>
                <w:szCs w:val="18"/>
              </w:rPr>
            </w:pPr>
          </w:p>
        </w:tc>
        <w:tc>
          <w:tcPr>
            <w:tcW w:w="1277" w:type="dxa"/>
            <w:vMerge/>
            <w:shd w:val="clear" w:color="auto" w:fill="auto"/>
            <w:vAlign w:val="center"/>
          </w:tcPr>
          <w:p w:rsidR="00B513DC" w:rsidRDefault="00B513DC">
            <w:pPr>
              <w:spacing w:line="300" w:lineRule="exact"/>
              <w:jc w:val="center"/>
              <w:rPr>
                <w:rFonts w:ascii="宋体" w:hAnsi="宋体"/>
                <w:sz w:val="18"/>
                <w:szCs w:val="18"/>
              </w:rPr>
            </w:pPr>
          </w:p>
        </w:tc>
        <w:tc>
          <w:tcPr>
            <w:tcW w:w="1843" w:type="dxa"/>
            <w:gridSpan w:val="2"/>
            <w:shd w:val="clear" w:color="auto" w:fill="auto"/>
            <w:vAlign w:val="center"/>
          </w:tcPr>
          <w:p w:rsidR="00B513DC" w:rsidRDefault="0057285D">
            <w:pPr>
              <w:jc w:val="center"/>
              <w:rPr>
                <w:rFonts w:ascii="宋体" w:hAnsi="宋体"/>
                <w:sz w:val="18"/>
                <w:szCs w:val="18"/>
              </w:rPr>
            </w:pPr>
            <w:r>
              <w:rPr>
                <w:rFonts w:ascii="宋体" w:hAnsi="宋体"/>
                <w:sz w:val="18"/>
                <w:szCs w:val="18"/>
              </w:rPr>
              <w:t>非刚性连接</w:t>
            </w:r>
          </w:p>
        </w:tc>
        <w:tc>
          <w:tcPr>
            <w:tcW w:w="1701" w:type="dxa"/>
            <w:shd w:val="clear" w:color="auto" w:fill="auto"/>
            <w:vAlign w:val="center"/>
          </w:tcPr>
          <w:p w:rsidR="00B513DC" w:rsidRDefault="0057285D">
            <w:pPr>
              <w:jc w:val="center"/>
              <w:rPr>
                <w:rFonts w:ascii="宋体" w:hAnsi="宋体"/>
                <w:sz w:val="18"/>
                <w:szCs w:val="18"/>
              </w:rPr>
            </w:pPr>
            <w:r>
              <w:rPr>
                <w:rFonts w:ascii="宋体" w:hAnsi="宋体"/>
                <w:sz w:val="18"/>
                <w:szCs w:val="18"/>
              </w:rPr>
              <w:t>3</w:t>
            </w:r>
            <w:r>
              <w:rPr>
                <w:rFonts w:ascii="MS Gothic" w:hAnsi="MS Gothic" w:cs="MS Gothic"/>
                <w:sz w:val="18"/>
                <w:szCs w:val="18"/>
              </w:rPr>
              <w:t> </w:t>
            </w:r>
            <w:r>
              <w:rPr>
                <w:rFonts w:ascii="宋体" w:hAnsi="宋体"/>
                <w:sz w:val="18"/>
                <w:szCs w:val="18"/>
              </w:rPr>
              <w:t>L</w:t>
            </w:r>
            <w:r>
              <w:rPr>
                <w:rFonts w:ascii="宋体" w:hAnsi="宋体"/>
                <w:sz w:val="18"/>
                <w:szCs w:val="18"/>
                <w:vertAlign w:val="subscript"/>
              </w:rPr>
              <w:t>2</w:t>
            </w:r>
            <w:r>
              <w:rPr>
                <w:rFonts w:ascii="宋体" w:hAnsi="宋体"/>
                <w:sz w:val="18"/>
                <w:szCs w:val="18"/>
              </w:rPr>
              <w:t>/1000，</w:t>
            </w:r>
          </w:p>
          <w:p w:rsidR="00B513DC" w:rsidRDefault="0057285D">
            <w:pPr>
              <w:jc w:val="center"/>
              <w:rPr>
                <w:rFonts w:ascii="宋体" w:hAnsi="宋体"/>
                <w:sz w:val="18"/>
                <w:szCs w:val="18"/>
              </w:rPr>
            </w:pPr>
            <w:r>
              <w:rPr>
                <w:rFonts w:ascii="宋体" w:hAnsi="宋体"/>
                <w:sz w:val="18"/>
                <w:szCs w:val="18"/>
              </w:rPr>
              <w:t>且不大于20</w:t>
            </w:r>
          </w:p>
        </w:tc>
        <w:tc>
          <w:tcPr>
            <w:tcW w:w="1275" w:type="dxa"/>
            <w:shd w:val="clear" w:color="auto" w:fill="auto"/>
            <w:vAlign w:val="center"/>
          </w:tcPr>
          <w:p w:rsidR="00B513DC" w:rsidRDefault="0057285D">
            <w:pPr>
              <w:jc w:val="center"/>
              <w:rPr>
                <w:rFonts w:ascii="宋体" w:hAnsi="宋体"/>
                <w:sz w:val="18"/>
                <w:szCs w:val="18"/>
              </w:rPr>
            </w:pPr>
            <w:r>
              <w:rPr>
                <w:rFonts w:ascii="宋体" w:hAnsi="宋体"/>
                <w:sz w:val="18"/>
                <w:szCs w:val="18"/>
              </w:rPr>
              <w:t>逐个单元检查</w:t>
            </w:r>
          </w:p>
        </w:tc>
        <w:tc>
          <w:tcPr>
            <w:tcW w:w="99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hint="eastAsia"/>
                <w:sz w:val="18"/>
                <w:szCs w:val="18"/>
              </w:rPr>
              <w:t>1</w:t>
            </w:r>
          </w:p>
        </w:tc>
        <w:tc>
          <w:tcPr>
            <w:tcW w:w="1547" w:type="dxa"/>
            <w:vMerge/>
            <w:shd w:val="clear" w:color="auto" w:fill="auto"/>
            <w:vAlign w:val="center"/>
          </w:tcPr>
          <w:p w:rsidR="00B513DC" w:rsidRDefault="00B513DC">
            <w:pPr>
              <w:spacing w:line="300" w:lineRule="exact"/>
              <w:jc w:val="center"/>
              <w:rPr>
                <w:rFonts w:ascii="宋体" w:hAnsi="宋体"/>
                <w:sz w:val="18"/>
                <w:szCs w:val="18"/>
              </w:rPr>
            </w:pPr>
          </w:p>
        </w:tc>
      </w:tr>
      <w:tr w:rsidR="00B513DC">
        <w:trPr>
          <w:jc w:val="center"/>
        </w:trPr>
        <w:tc>
          <w:tcPr>
            <w:tcW w:w="698" w:type="dxa"/>
            <w:vMerge w:val="restart"/>
            <w:shd w:val="clear" w:color="auto" w:fill="auto"/>
            <w:vAlign w:val="center"/>
          </w:tcPr>
          <w:p w:rsidR="00B513DC" w:rsidRDefault="0057285D">
            <w:pPr>
              <w:pStyle w:val="afffffffff6"/>
              <w:rPr>
                <w:rFonts w:hAnsi="宋体"/>
                <w:szCs w:val="18"/>
              </w:rPr>
            </w:pPr>
            <w:r>
              <w:rPr>
                <w:rFonts w:hAnsi="宋体" w:hint="eastAsia"/>
                <w:szCs w:val="18"/>
              </w:rPr>
              <w:t>4</w:t>
            </w:r>
          </w:p>
        </w:tc>
        <w:tc>
          <w:tcPr>
            <w:tcW w:w="1277" w:type="dxa"/>
            <w:vMerge w:val="restart"/>
            <w:shd w:val="clear" w:color="auto" w:fill="auto"/>
            <w:vAlign w:val="center"/>
          </w:tcPr>
          <w:p w:rsidR="00B513DC" w:rsidRDefault="0057285D">
            <w:pPr>
              <w:jc w:val="center"/>
              <w:rPr>
                <w:rFonts w:ascii="宋体" w:hAnsi="宋体"/>
                <w:sz w:val="18"/>
                <w:szCs w:val="18"/>
              </w:rPr>
            </w:pPr>
            <w:r>
              <w:rPr>
                <w:rFonts w:ascii="宋体" w:hAnsi="宋体"/>
                <w:sz w:val="18"/>
                <w:szCs w:val="18"/>
              </w:rPr>
              <w:t>浮桥轴线偏差</w:t>
            </w:r>
          </w:p>
        </w:tc>
        <w:tc>
          <w:tcPr>
            <w:tcW w:w="1843" w:type="dxa"/>
            <w:gridSpan w:val="2"/>
            <w:shd w:val="clear" w:color="auto" w:fill="auto"/>
            <w:vAlign w:val="center"/>
          </w:tcPr>
          <w:p w:rsidR="00B513DC" w:rsidRDefault="0057285D">
            <w:pPr>
              <w:jc w:val="center"/>
              <w:rPr>
                <w:rFonts w:ascii="宋体" w:hAnsi="宋体"/>
                <w:sz w:val="18"/>
                <w:szCs w:val="18"/>
              </w:rPr>
            </w:pPr>
            <w:r>
              <w:rPr>
                <w:rFonts w:ascii="宋体" w:hAnsi="宋体"/>
                <w:sz w:val="18"/>
                <w:szCs w:val="18"/>
              </w:rPr>
              <w:t>刚性连接</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1275" w:type="dxa"/>
            <w:vMerge w:val="restart"/>
            <w:shd w:val="clear" w:color="auto" w:fill="auto"/>
            <w:vAlign w:val="center"/>
          </w:tcPr>
          <w:p w:rsidR="00B513DC" w:rsidRDefault="0057285D">
            <w:pPr>
              <w:jc w:val="center"/>
              <w:rPr>
                <w:rFonts w:ascii="宋体" w:hAnsi="宋体"/>
                <w:sz w:val="18"/>
                <w:szCs w:val="18"/>
              </w:rPr>
            </w:pPr>
            <w:r>
              <w:rPr>
                <w:rFonts w:ascii="宋体" w:hAnsi="宋体"/>
                <w:sz w:val="18"/>
                <w:szCs w:val="18"/>
              </w:rPr>
              <w:t>逐段检查</w:t>
            </w:r>
          </w:p>
        </w:tc>
        <w:tc>
          <w:tcPr>
            <w:tcW w:w="99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hint="eastAsia"/>
                <w:sz w:val="18"/>
                <w:szCs w:val="18"/>
              </w:rPr>
              <w:t>1</w:t>
            </w:r>
          </w:p>
        </w:tc>
        <w:tc>
          <w:tcPr>
            <w:tcW w:w="1547" w:type="dxa"/>
            <w:vMerge w:val="restart"/>
            <w:shd w:val="clear" w:color="auto" w:fill="auto"/>
            <w:vAlign w:val="center"/>
          </w:tcPr>
          <w:p w:rsidR="00B513DC" w:rsidRDefault="0057285D">
            <w:pPr>
              <w:jc w:val="center"/>
              <w:rPr>
                <w:rFonts w:ascii="宋体" w:hAnsi="宋体"/>
                <w:sz w:val="18"/>
                <w:szCs w:val="18"/>
              </w:rPr>
            </w:pPr>
            <w:r>
              <w:rPr>
                <w:rFonts w:ascii="宋体" w:hAnsi="宋体"/>
                <w:sz w:val="18"/>
                <w:szCs w:val="18"/>
              </w:rPr>
              <w:t>全站仪测量</w:t>
            </w:r>
          </w:p>
        </w:tc>
      </w:tr>
      <w:tr w:rsidR="00B513DC">
        <w:trPr>
          <w:jc w:val="center"/>
        </w:trPr>
        <w:tc>
          <w:tcPr>
            <w:tcW w:w="698" w:type="dxa"/>
            <w:vMerge/>
            <w:shd w:val="clear" w:color="auto" w:fill="auto"/>
            <w:vAlign w:val="center"/>
          </w:tcPr>
          <w:p w:rsidR="00B513DC" w:rsidRDefault="00B513DC">
            <w:pPr>
              <w:pStyle w:val="afffffffff6"/>
            </w:pPr>
          </w:p>
        </w:tc>
        <w:tc>
          <w:tcPr>
            <w:tcW w:w="1277" w:type="dxa"/>
            <w:vMerge/>
            <w:shd w:val="clear" w:color="auto" w:fill="auto"/>
            <w:vAlign w:val="center"/>
          </w:tcPr>
          <w:p w:rsidR="00B513DC" w:rsidRDefault="00B513DC">
            <w:pPr>
              <w:rPr>
                <w:rFonts w:ascii="宋体" w:hAnsi="宋体"/>
              </w:rPr>
            </w:pPr>
          </w:p>
        </w:tc>
        <w:tc>
          <w:tcPr>
            <w:tcW w:w="1843" w:type="dxa"/>
            <w:gridSpan w:val="2"/>
            <w:shd w:val="clear" w:color="auto" w:fill="auto"/>
            <w:vAlign w:val="center"/>
          </w:tcPr>
          <w:p w:rsidR="00B513DC" w:rsidRDefault="0057285D">
            <w:pPr>
              <w:jc w:val="center"/>
            </w:pPr>
            <w:r>
              <w:rPr>
                <w:rFonts w:ascii="宋体" w:hAnsi="宋体"/>
                <w:sz w:val="18"/>
              </w:rPr>
              <w:t>非刚性连接</w:t>
            </w:r>
          </w:p>
        </w:tc>
        <w:tc>
          <w:tcPr>
            <w:tcW w:w="1701" w:type="dxa"/>
            <w:shd w:val="clear" w:color="auto" w:fill="auto"/>
            <w:vAlign w:val="center"/>
          </w:tcPr>
          <w:p w:rsidR="00B513DC" w:rsidRDefault="0057285D">
            <w:pPr>
              <w:jc w:val="center"/>
              <w:rPr>
                <w:rFonts w:ascii="宋体" w:hAnsi="宋体"/>
              </w:rPr>
            </w:pPr>
            <w:r>
              <w:rPr>
                <w:rFonts w:ascii="宋体" w:hAnsi="宋体"/>
                <w:sz w:val="18"/>
              </w:rPr>
              <w:t>20</w:t>
            </w:r>
          </w:p>
        </w:tc>
        <w:tc>
          <w:tcPr>
            <w:tcW w:w="1275" w:type="dxa"/>
            <w:vMerge/>
            <w:shd w:val="clear" w:color="auto" w:fill="auto"/>
            <w:vAlign w:val="center"/>
          </w:tcPr>
          <w:p w:rsidR="00B513DC" w:rsidRDefault="00B513DC">
            <w:pPr>
              <w:pStyle w:val="afffffffff6"/>
            </w:pPr>
          </w:p>
        </w:tc>
        <w:tc>
          <w:tcPr>
            <w:tcW w:w="993" w:type="dxa"/>
            <w:shd w:val="clear" w:color="auto" w:fill="auto"/>
            <w:vAlign w:val="center"/>
          </w:tcPr>
          <w:p w:rsidR="00B513DC" w:rsidRDefault="0057285D">
            <w:pPr>
              <w:spacing w:line="300" w:lineRule="exact"/>
              <w:jc w:val="center"/>
            </w:pPr>
            <w:r>
              <w:rPr>
                <w:rFonts w:hint="eastAsia"/>
              </w:rPr>
              <w:t>1</w:t>
            </w:r>
          </w:p>
        </w:tc>
        <w:tc>
          <w:tcPr>
            <w:tcW w:w="1547" w:type="dxa"/>
            <w:vMerge/>
            <w:shd w:val="clear" w:color="auto" w:fill="auto"/>
            <w:vAlign w:val="center"/>
          </w:tcPr>
          <w:p w:rsidR="00B513DC" w:rsidRDefault="00B513DC">
            <w:pPr>
              <w:spacing w:line="300" w:lineRule="exact"/>
              <w:jc w:val="center"/>
              <w:rPr>
                <w:rFonts w:ascii="宋体" w:hAnsi="宋体"/>
              </w:rPr>
            </w:pPr>
          </w:p>
        </w:tc>
      </w:tr>
      <w:tr w:rsidR="00B513DC">
        <w:trPr>
          <w:jc w:val="center"/>
        </w:trPr>
        <w:tc>
          <w:tcPr>
            <w:tcW w:w="9334" w:type="dxa"/>
            <w:gridSpan w:val="8"/>
            <w:shd w:val="clear" w:color="auto" w:fill="auto"/>
            <w:vAlign w:val="center"/>
          </w:tcPr>
          <w:p w:rsidR="00B513DC" w:rsidRDefault="0057285D">
            <w:pPr>
              <w:pStyle w:val="a5"/>
              <w:numPr>
                <w:ilvl w:val="0"/>
                <w:numId w:val="42"/>
              </w:numPr>
              <w:rPr>
                <w:rFonts w:hAnsi="宋体"/>
                <w:kern w:val="2"/>
                <w:sz w:val="21"/>
                <w:szCs w:val="21"/>
              </w:rPr>
            </w:pPr>
            <w:r>
              <w:rPr>
                <w:rFonts w:hAnsi="宋体"/>
              </w:rPr>
              <w:t>L</w:t>
            </w:r>
            <w:r>
              <w:rPr>
                <w:rFonts w:hAnsi="宋体"/>
                <w:vertAlign w:val="subscript"/>
              </w:rPr>
              <w:t>1</w:t>
            </w:r>
            <w:r>
              <w:rPr>
                <w:rFonts w:hAnsi="宋体"/>
              </w:rPr>
              <w:t>为一个检验批浮桥长度，L</w:t>
            </w:r>
            <w:r>
              <w:rPr>
                <w:rFonts w:ascii="Times New Roman"/>
              </w:rPr>
              <w:t>₂</w:t>
            </w:r>
            <w:r>
              <w:rPr>
                <w:rFonts w:hAnsi="宋体"/>
              </w:rPr>
              <w:t>为单元浮桥长度，单位为mm。</w:t>
            </w:r>
          </w:p>
          <w:p w:rsidR="00B513DC" w:rsidRDefault="0057285D">
            <w:pPr>
              <w:pStyle w:val="a5"/>
              <w:rPr>
                <w:rFonts w:hAnsi="宋体"/>
              </w:rPr>
            </w:pPr>
            <w:r>
              <w:rPr>
                <w:rFonts w:hAnsi="宋体"/>
              </w:rPr>
              <w:t>序号1、2项目指通过</w:t>
            </w:r>
            <w:proofErr w:type="gramStart"/>
            <w:r>
              <w:rPr>
                <w:rFonts w:hAnsi="宋体"/>
              </w:rPr>
              <w:t>连系</w:t>
            </w:r>
            <w:proofErr w:type="gramEnd"/>
            <w:r>
              <w:rPr>
                <w:rFonts w:hAnsi="宋体"/>
              </w:rPr>
              <w:t>框架进行连接。</w:t>
            </w:r>
          </w:p>
          <w:p w:rsidR="00B513DC" w:rsidRDefault="0057285D">
            <w:pPr>
              <w:pStyle w:val="a5"/>
              <w:rPr>
                <w:rFonts w:hAnsi="宋体"/>
              </w:rPr>
            </w:pPr>
            <w:r>
              <w:rPr>
                <w:rFonts w:hAnsi="宋体"/>
              </w:rPr>
              <w:t>在特殊的部位，如抱桩器、主浮桥与支浮桥的连接都应对浮箱进行特殊设计。</w:t>
            </w:r>
          </w:p>
        </w:tc>
      </w:tr>
    </w:tbl>
    <w:p w:rsidR="00B513DC" w:rsidRDefault="0057285D">
      <w:pPr>
        <w:pStyle w:val="aff4"/>
        <w:spacing w:before="156" w:after="156"/>
        <w:rPr>
          <w:kern w:val="2"/>
          <w:szCs w:val="21"/>
        </w:rPr>
      </w:pPr>
      <w:proofErr w:type="gramStart"/>
      <w:r>
        <w:t>浮</w:t>
      </w:r>
      <w:proofErr w:type="gramEnd"/>
      <w:r>
        <w:t>桥面板</w:t>
      </w:r>
    </w:p>
    <w:p w:rsidR="00B513DC" w:rsidRDefault="0057285D">
      <w:pPr>
        <w:pStyle w:val="afffff2"/>
        <w:ind w:firstLine="420"/>
      </w:pPr>
      <w:proofErr w:type="gramStart"/>
      <w:r>
        <w:t>浮</w:t>
      </w:r>
      <w:proofErr w:type="gramEnd"/>
      <w:r>
        <w:t>桥面板铺设允许偏差、检验数量和方法应符合表</w:t>
      </w:r>
      <w:r>
        <w:rPr>
          <w:rFonts w:hint="eastAsia"/>
        </w:rPr>
        <w:t>B</w:t>
      </w:r>
      <w:r>
        <w:t>.6的规定。</w:t>
      </w:r>
    </w:p>
    <w:p w:rsidR="00B513DC" w:rsidRDefault="0057285D">
      <w:pPr>
        <w:pStyle w:val="aff"/>
        <w:spacing w:before="156" w:after="156"/>
      </w:pPr>
      <w:proofErr w:type="gramStart"/>
      <w:r>
        <w:rPr>
          <w:rFonts w:hint="eastAsia"/>
        </w:rPr>
        <w:t>浮</w:t>
      </w:r>
      <w:proofErr w:type="gramEnd"/>
      <w:r>
        <w:rPr>
          <w:rFonts w:hint="eastAsia"/>
        </w:rPr>
        <w:t>桥面板铺设允许偏差、检验数量和方法</w:t>
      </w:r>
    </w:p>
    <w:tbl>
      <w:tblPr>
        <w:tblStyle w:val="a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701"/>
        <w:gridCol w:w="1417"/>
        <w:gridCol w:w="1276"/>
        <w:gridCol w:w="1134"/>
        <w:gridCol w:w="2823"/>
      </w:tblGrid>
      <w:tr w:rsidR="00B513DC">
        <w:trPr>
          <w:tblHeader/>
          <w:jc w:val="center"/>
        </w:trPr>
        <w:tc>
          <w:tcPr>
            <w:tcW w:w="983" w:type="dxa"/>
            <w:tcBorders>
              <w:top w:val="single" w:sz="8" w:space="0" w:color="auto"/>
              <w:bottom w:val="single" w:sz="8" w:space="0" w:color="auto"/>
            </w:tcBorders>
            <w:shd w:val="clear" w:color="auto" w:fill="auto"/>
            <w:vAlign w:val="center"/>
          </w:tcPr>
          <w:p w:rsidR="00B513DC" w:rsidRDefault="0057285D">
            <w:pPr>
              <w:pStyle w:val="afffffffff6"/>
              <w:rPr>
                <w:rFonts w:hAnsi="宋体"/>
                <w:szCs w:val="18"/>
              </w:rPr>
            </w:pPr>
            <w:r>
              <w:rPr>
                <w:rFonts w:hAnsi="宋体" w:hint="eastAsia"/>
                <w:szCs w:val="18"/>
              </w:rPr>
              <w:t>序号</w:t>
            </w:r>
          </w:p>
        </w:tc>
        <w:tc>
          <w:tcPr>
            <w:tcW w:w="1701"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项目</w:t>
            </w:r>
          </w:p>
        </w:tc>
        <w:tc>
          <w:tcPr>
            <w:tcW w:w="1417"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允许偏差（mm）</w:t>
            </w:r>
          </w:p>
        </w:tc>
        <w:tc>
          <w:tcPr>
            <w:tcW w:w="1276"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检验数量</w:t>
            </w:r>
          </w:p>
        </w:tc>
        <w:tc>
          <w:tcPr>
            <w:tcW w:w="1134"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单元测点</w:t>
            </w:r>
          </w:p>
        </w:tc>
        <w:tc>
          <w:tcPr>
            <w:tcW w:w="2823"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检验方法</w:t>
            </w:r>
          </w:p>
        </w:tc>
      </w:tr>
      <w:tr w:rsidR="00B513DC">
        <w:trPr>
          <w:jc w:val="center"/>
        </w:trPr>
        <w:tc>
          <w:tcPr>
            <w:tcW w:w="983" w:type="dxa"/>
            <w:tcBorders>
              <w:top w:val="single" w:sz="8" w:space="0" w:color="auto"/>
            </w:tcBorders>
            <w:shd w:val="clear" w:color="auto" w:fill="auto"/>
            <w:vAlign w:val="center"/>
          </w:tcPr>
          <w:p w:rsidR="00B513DC" w:rsidRDefault="0057285D">
            <w:pPr>
              <w:pStyle w:val="afffffffff6"/>
              <w:rPr>
                <w:rFonts w:hAnsi="宋体"/>
                <w:szCs w:val="18"/>
              </w:rPr>
            </w:pPr>
            <w:r>
              <w:rPr>
                <w:rFonts w:hAnsi="宋体" w:hint="eastAsia"/>
                <w:szCs w:val="18"/>
              </w:rPr>
              <w:t>1</w:t>
            </w:r>
          </w:p>
        </w:tc>
        <w:tc>
          <w:tcPr>
            <w:tcW w:w="1701"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面板之间间隙</w:t>
            </w:r>
          </w:p>
        </w:tc>
        <w:tc>
          <w:tcPr>
            <w:tcW w:w="1417" w:type="dxa"/>
            <w:tcBorders>
              <w:top w:val="single" w:sz="8" w:space="0" w:color="auto"/>
            </w:tcBorders>
            <w:shd w:val="clear" w:color="auto" w:fill="auto"/>
          </w:tcPr>
          <w:p w:rsidR="00B513DC" w:rsidRDefault="0057285D">
            <w:pPr>
              <w:spacing w:line="300" w:lineRule="exact"/>
              <w:jc w:val="center"/>
              <w:rPr>
                <w:rFonts w:ascii="宋体" w:hAnsi="宋体"/>
                <w:sz w:val="18"/>
                <w:szCs w:val="18"/>
              </w:rPr>
            </w:pPr>
            <w:r>
              <w:rPr>
                <w:rFonts w:ascii="宋体" w:hAnsi="宋体"/>
                <w:sz w:val="18"/>
                <w:szCs w:val="18"/>
              </w:rPr>
              <w:t>±1</w:t>
            </w:r>
          </w:p>
        </w:tc>
        <w:tc>
          <w:tcPr>
            <w:tcW w:w="1276" w:type="dxa"/>
            <w:vMerge w:val="restart"/>
            <w:tcBorders>
              <w:top w:val="single" w:sz="8" w:space="0" w:color="auto"/>
            </w:tcBorders>
            <w:shd w:val="clear" w:color="auto" w:fill="auto"/>
          </w:tcPr>
          <w:p w:rsidR="00B513DC" w:rsidRDefault="0057285D">
            <w:pPr>
              <w:jc w:val="center"/>
              <w:rPr>
                <w:rFonts w:ascii="宋体" w:hAnsi="宋体"/>
                <w:sz w:val="18"/>
                <w:szCs w:val="18"/>
              </w:rPr>
            </w:pPr>
            <w:r>
              <w:rPr>
                <w:rFonts w:ascii="宋体" w:hAnsi="宋体"/>
                <w:sz w:val="18"/>
                <w:szCs w:val="18"/>
              </w:rPr>
              <w:t>20</w:t>
            </w:r>
            <w:r>
              <w:rPr>
                <w:rFonts w:ascii="MS Gothic" w:hAnsi="MS Gothic" w:cs="MS Gothic"/>
                <w:sz w:val="18"/>
                <w:szCs w:val="18"/>
              </w:rPr>
              <w:t> </w:t>
            </w:r>
            <w:r>
              <w:rPr>
                <w:rFonts w:ascii="宋体" w:hAnsi="宋体" w:hint="eastAsia"/>
                <w:sz w:val="18"/>
                <w:szCs w:val="18"/>
              </w:rPr>
              <w:t>m</w:t>
            </w:r>
            <w:r>
              <w:rPr>
                <w:rFonts w:ascii="宋体" w:hAnsi="宋体"/>
                <w:sz w:val="18"/>
                <w:szCs w:val="18"/>
              </w:rPr>
              <w:t>一处，</w:t>
            </w:r>
          </w:p>
          <w:p w:rsidR="00B513DC" w:rsidRDefault="0057285D">
            <w:pPr>
              <w:jc w:val="center"/>
              <w:rPr>
                <w:rFonts w:ascii="宋体" w:hAnsi="宋体"/>
                <w:sz w:val="18"/>
                <w:szCs w:val="18"/>
              </w:rPr>
            </w:pPr>
            <w:r>
              <w:rPr>
                <w:rFonts w:ascii="宋体" w:hAnsi="宋体"/>
                <w:sz w:val="18"/>
                <w:szCs w:val="18"/>
              </w:rPr>
              <w:t>不少于三处</w:t>
            </w:r>
          </w:p>
        </w:tc>
        <w:tc>
          <w:tcPr>
            <w:tcW w:w="1134"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w:t>
            </w:r>
          </w:p>
        </w:tc>
        <w:tc>
          <w:tcPr>
            <w:tcW w:w="2823"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用卡尺或钢直尺测量两端，取大值</w:t>
            </w:r>
          </w:p>
        </w:tc>
      </w:tr>
      <w:tr w:rsidR="00B513DC">
        <w:trPr>
          <w:jc w:val="center"/>
        </w:trPr>
        <w:tc>
          <w:tcPr>
            <w:tcW w:w="983" w:type="dxa"/>
            <w:shd w:val="clear" w:color="auto" w:fill="auto"/>
            <w:vAlign w:val="center"/>
          </w:tcPr>
          <w:p w:rsidR="00B513DC" w:rsidRDefault="0057285D">
            <w:pPr>
              <w:pStyle w:val="afffffffff6"/>
              <w:rPr>
                <w:rFonts w:hAnsi="宋体"/>
                <w:szCs w:val="18"/>
              </w:rPr>
            </w:pPr>
            <w:r>
              <w:rPr>
                <w:rFonts w:hAnsi="宋体" w:hint="eastAsia"/>
                <w:szCs w:val="18"/>
              </w:rPr>
              <w:t>2</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面板之间高差</w:t>
            </w:r>
          </w:p>
        </w:tc>
        <w:tc>
          <w:tcPr>
            <w:tcW w:w="1417"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1276" w:type="dxa"/>
            <w:vMerge/>
            <w:shd w:val="clear" w:color="auto" w:fill="auto"/>
            <w:vAlign w:val="center"/>
          </w:tcPr>
          <w:p w:rsidR="00B513DC" w:rsidRDefault="00B513DC">
            <w:pPr>
              <w:pStyle w:val="afffffffff6"/>
              <w:rPr>
                <w:rFonts w:hAnsi="宋体"/>
                <w:szCs w:val="18"/>
              </w:rPr>
            </w:pPr>
          </w:p>
        </w:tc>
        <w:tc>
          <w:tcPr>
            <w:tcW w:w="1134"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w:t>
            </w:r>
          </w:p>
        </w:tc>
        <w:tc>
          <w:tcPr>
            <w:tcW w:w="282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用塞尺或钢直尺测量两端，取大值</w:t>
            </w:r>
          </w:p>
        </w:tc>
      </w:tr>
      <w:tr w:rsidR="00B513DC">
        <w:trPr>
          <w:jc w:val="center"/>
        </w:trPr>
        <w:tc>
          <w:tcPr>
            <w:tcW w:w="983" w:type="dxa"/>
            <w:shd w:val="clear" w:color="auto" w:fill="auto"/>
            <w:vAlign w:val="center"/>
          </w:tcPr>
          <w:p w:rsidR="00B513DC" w:rsidRDefault="0057285D">
            <w:pPr>
              <w:pStyle w:val="afffffffff6"/>
              <w:rPr>
                <w:rFonts w:hAnsi="宋体"/>
                <w:szCs w:val="18"/>
              </w:rPr>
            </w:pPr>
            <w:r>
              <w:rPr>
                <w:rFonts w:hAnsi="宋体" w:hint="eastAsia"/>
                <w:szCs w:val="18"/>
              </w:rPr>
              <w:t>3</w:t>
            </w:r>
          </w:p>
        </w:tc>
        <w:tc>
          <w:tcPr>
            <w:tcW w:w="1701"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表面平整度</w:t>
            </w:r>
          </w:p>
        </w:tc>
        <w:tc>
          <w:tcPr>
            <w:tcW w:w="1417"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3</w:t>
            </w:r>
          </w:p>
        </w:tc>
        <w:tc>
          <w:tcPr>
            <w:tcW w:w="1276" w:type="dxa"/>
            <w:vMerge/>
            <w:shd w:val="clear" w:color="auto" w:fill="auto"/>
            <w:vAlign w:val="center"/>
          </w:tcPr>
          <w:p w:rsidR="00B513DC" w:rsidRDefault="00B513DC">
            <w:pPr>
              <w:pStyle w:val="afffffffff6"/>
              <w:rPr>
                <w:rFonts w:hAnsi="宋体"/>
                <w:szCs w:val="18"/>
              </w:rPr>
            </w:pPr>
          </w:p>
        </w:tc>
        <w:tc>
          <w:tcPr>
            <w:tcW w:w="1134"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w:t>
            </w:r>
          </w:p>
        </w:tc>
        <w:tc>
          <w:tcPr>
            <w:tcW w:w="282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用2 m靠尺和塞尺测量</w:t>
            </w:r>
          </w:p>
        </w:tc>
      </w:tr>
    </w:tbl>
    <w:p w:rsidR="00B513DC" w:rsidRDefault="0057285D">
      <w:pPr>
        <w:pStyle w:val="aff4"/>
        <w:spacing w:before="156" w:after="156"/>
        <w:rPr>
          <w:kern w:val="2"/>
          <w:szCs w:val="21"/>
        </w:rPr>
      </w:pPr>
      <w:r>
        <w:lastRenderedPageBreak/>
        <w:t>抱桩器</w:t>
      </w:r>
    </w:p>
    <w:p w:rsidR="00B513DC" w:rsidRDefault="0057285D">
      <w:pPr>
        <w:pStyle w:val="afffff2"/>
        <w:ind w:firstLine="420"/>
      </w:pPr>
      <w:proofErr w:type="gramStart"/>
      <w:r>
        <w:t>抱桩器制作</w:t>
      </w:r>
      <w:proofErr w:type="gramEnd"/>
      <w:r>
        <w:t>和安装允许偏差、检验数量和方法应符合表</w:t>
      </w:r>
      <w:r>
        <w:rPr>
          <w:rFonts w:hint="eastAsia"/>
        </w:rPr>
        <w:t>B</w:t>
      </w:r>
      <w:r>
        <w:t>.7的规定。</w:t>
      </w:r>
    </w:p>
    <w:p w:rsidR="00B513DC" w:rsidRDefault="0057285D">
      <w:pPr>
        <w:pStyle w:val="aff"/>
        <w:spacing w:before="156" w:after="156"/>
      </w:pPr>
      <w:proofErr w:type="gramStart"/>
      <w:r>
        <w:rPr>
          <w:rFonts w:hint="eastAsia"/>
        </w:rPr>
        <w:t>抱桩器制作</w:t>
      </w:r>
      <w:proofErr w:type="gramEnd"/>
      <w:r>
        <w:rPr>
          <w:rFonts w:hint="eastAsia"/>
        </w:rPr>
        <w:t>和安装允许偏差、检验数量和方法</w:t>
      </w:r>
    </w:p>
    <w:tbl>
      <w:tblPr>
        <w:tblStyle w:val="a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34"/>
        <w:gridCol w:w="716"/>
        <w:gridCol w:w="1134"/>
        <w:gridCol w:w="1559"/>
        <w:gridCol w:w="1276"/>
        <w:gridCol w:w="992"/>
        <w:gridCol w:w="2823"/>
      </w:tblGrid>
      <w:tr w:rsidR="00B513DC">
        <w:trPr>
          <w:tblHeader/>
          <w:jc w:val="center"/>
        </w:trPr>
        <w:tc>
          <w:tcPr>
            <w:tcW w:w="834" w:type="dxa"/>
            <w:tcBorders>
              <w:top w:val="single" w:sz="8" w:space="0" w:color="auto"/>
              <w:bottom w:val="single" w:sz="8" w:space="0" w:color="auto"/>
            </w:tcBorders>
            <w:shd w:val="clear" w:color="auto" w:fill="auto"/>
            <w:vAlign w:val="center"/>
          </w:tcPr>
          <w:p w:rsidR="00B513DC" w:rsidRDefault="0057285D">
            <w:pPr>
              <w:pStyle w:val="afffffffff6"/>
              <w:rPr>
                <w:rFonts w:hAnsi="宋体"/>
                <w:szCs w:val="18"/>
              </w:rPr>
            </w:pPr>
            <w:r>
              <w:rPr>
                <w:rFonts w:hAnsi="宋体" w:hint="eastAsia"/>
                <w:szCs w:val="18"/>
              </w:rPr>
              <w:t>序号</w:t>
            </w:r>
          </w:p>
        </w:tc>
        <w:tc>
          <w:tcPr>
            <w:tcW w:w="1850" w:type="dxa"/>
            <w:gridSpan w:val="2"/>
            <w:tcBorders>
              <w:top w:val="single" w:sz="8" w:space="0" w:color="auto"/>
              <w:bottom w:val="single" w:sz="8" w:space="0" w:color="auto"/>
            </w:tcBorders>
          </w:tcPr>
          <w:p w:rsidR="00B513DC" w:rsidRDefault="0057285D">
            <w:pPr>
              <w:jc w:val="center"/>
              <w:rPr>
                <w:rFonts w:ascii="宋体" w:hAnsi="宋体"/>
                <w:sz w:val="18"/>
                <w:szCs w:val="18"/>
              </w:rPr>
            </w:pPr>
            <w:r>
              <w:rPr>
                <w:rFonts w:ascii="宋体" w:hAnsi="宋体"/>
                <w:sz w:val="18"/>
                <w:szCs w:val="18"/>
              </w:rPr>
              <w:t>项目</w:t>
            </w:r>
          </w:p>
        </w:tc>
        <w:tc>
          <w:tcPr>
            <w:tcW w:w="1559"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允许偏差（mm）</w:t>
            </w:r>
          </w:p>
        </w:tc>
        <w:tc>
          <w:tcPr>
            <w:tcW w:w="1276"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检验数量</w:t>
            </w:r>
          </w:p>
        </w:tc>
        <w:tc>
          <w:tcPr>
            <w:tcW w:w="992"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单元测点</w:t>
            </w:r>
          </w:p>
        </w:tc>
        <w:tc>
          <w:tcPr>
            <w:tcW w:w="2823" w:type="dxa"/>
            <w:tcBorders>
              <w:top w:val="single" w:sz="8" w:space="0" w:color="auto"/>
              <w:bottom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检验方法</w:t>
            </w:r>
          </w:p>
        </w:tc>
      </w:tr>
      <w:tr w:rsidR="00B513DC">
        <w:trPr>
          <w:jc w:val="center"/>
        </w:trPr>
        <w:tc>
          <w:tcPr>
            <w:tcW w:w="834" w:type="dxa"/>
            <w:tcBorders>
              <w:top w:val="single" w:sz="8" w:space="0" w:color="auto"/>
            </w:tcBorders>
            <w:shd w:val="clear" w:color="auto" w:fill="auto"/>
            <w:vAlign w:val="center"/>
          </w:tcPr>
          <w:p w:rsidR="00B513DC" w:rsidRDefault="0057285D">
            <w:pPr>
              <w:pStyle w:val="afffffffff6"/>
              <w:rPr>
                <w:rFonts w:hAnsi="宋体"/>
                <w:szCs w:val="18"/>
              </w:rPr>
            </w:pPr>
            <w:r>
              <w:rPr>
                <w:rFonts w:hAnsi="宋体" w:hint="eastAsia"/>
                <w:szCs w:val="18"/>
              </w:rPr>
              <w:t>1</w:t>
            </w:r>
          </w:p>
        </w:tc>
        <w:tc>
          <w:tcPr>
            <w:tcW w:w="716" w:type="dxa"/>
            <w:vMerge w:val="restart"/>
            <w:tcBorders>
              <w:top w:val="single" w:sz="8" w:space="0" w:color="auto"/>
            </w:tcBorders>
          </w:tcPr>
          <w:p w:rsidR="00B513DC" w:rsidRDefault="0057285D">
            <w:pPr>
              <w:jc w:val="center"/>
              <w:rPr>
                <w:rFonts w:ascii="宋体" w:hAnsi="宋体"/>
                <w:sz w:val="18"/>
                <w:szCs w:val="18"/>
              </w:rPr>
            </w:pPr>
            <w:r>
              <w:rPr>
                <w:rFonts w:ascii="宋体" w:hAnsi="宋体"/>
                <w:sz w:val="18"/>
                <w:szCs w:val="18"/>
              </w:rPr>
              <w:t>制作</w:t>
            </w:r>
          </w:p>
        </w:tc>
        <w:tc>
          <w:tcPr>
            <w:tcW w:w="1134"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长度</w:t>
            </w:r>
          </w:p>
        </w:tc>
        <w:tc>
          <w:tcPr>
            <w:tcW w:w="1559"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1276" w:type="dxa"/>
            <w:vMerge w:val="restart"/>
            <w:tcBorders>
              <w:top w:val="single" w:sz="8" w:space="0" w:color="auto"/>
            </w:tcBorders>
            <w:shd w:val="clear" w:color="auto" w:fill="auto"/>
            <w:vAlign w:val="center"/>
          </w:tcPr>
          <w:p w:rsidR="00B513DC" w:rsidRDefault="0057285D">
            <w:pPr>
              <w:jc w:val="center"/>
              <w:rPr>
                <w:rFonts w:ascii="宋体" w:hAnsi="宋体"/>
                <w:sz w:val="18"/>
                <w:szCs w:val="18"/>
              </w:rPr>
            </w:pPr>
            <w:r>
              <w:rPr>
                <w:rFonts w:ascii="宋体" w:hAnsi="宋体"/>
                <w:sz w:val="18"/>
                <w:szCs w:val="18"/>
              </w:rPr>
              <w:t>逐件检查</w:t>
            </w:r>
          </w:p>
        </w:tc>
        <w:tc>
          <w:tcPr>
            <w:tcW w:w="992" w:type="dxa"/>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w:t>
            </w:r>
          </w:p>
        </w:tc>
        <w:tc>
          <w:tcPr>
            <w:tcW w:w="2823" w:type="dxa"/>
            <w:vMerge w:val="restart"/>
            <w:tcBorders>
              <w:top w:val="single" w:sz="8" w:space="0" w:color="auto"/>
            </w:tcBorders>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用钢尺测量两侧</w:t>
            </w:r>
          </w:p>
        </w:tc>
      </w:tr>
      <w:tr w:rsidR="00B513DC">
        <w:trPr>
          <w:jc w:val="center"/>
        </w:trPr>
        <w:tc>
          <w:tcPr>
            <w:tcW w:w="834" w:type="dxa"/>
            <w:shd w:val="clear" w:color="auto" w:fill="auto"/>
            <w:vAlign w:val="center"/>
          </w:tcPr>
          <w:p w:rsidR="00B513DC" w:rsidRDefault="0057285D">
            <w:pPr>
              <w:pStyle w:val="afffffffff6"/>
              <w:rPr>
                <w:rFonts w:hAnsi="宋体"/>
                <w:szCs w:val="18"/>
              </w:rPr>
            </w:pPr>
            <w:r>
              <w:rPr>
                <w:rFonts w:hAnsi="宋体" w:hint="eastAsia"/>
                <w:szCs w:val="18"/>
              </w:rPr>
              <w:t>2</w:t>
            </w:r>
          </w:p>
        </w:tc>
        <w:tc>
          <w:tcPr>
            <w:tcW w:w="716" w:type="dxa"/>
            <w:vMerge/>
          </w:tcPr>
          <w:p w:rsidR="00B513DC" w:rsidRDefault="00B513DC">
            <w:pPr>
              <w:spacing w:line="300" w:lineRule="exact"/>
              <w:jc w:val="center"/>
              <w:rPr>
                <w:rFonts w:ascii="宋体" w:hAnsi="宋体"/>
                <w:sz w:val="18"/>
                <w:szCs w:val="18"/>
              </w:rPr>
            </w:pPr>
          </w:p>
        </w:tc>
        <w:tc>
          <w:tcPr>
            <w:tcW w:w="1134"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宽度</w:t>
            </w:r>
          </w:p>
        </w:tc>
        <w:tc>
          <w:tcPr>
            <w:tcW w:w="1559"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1276" w:type="dxa"/>
            <w:vMerge/>
            <w:shd w:val="clear" w:color="auto" w:fill="auto"/>
            <w:vAlign w:val="center"/>
          </w:tcPr>
          <w:p w:rsidR="00B513DC" w:rsidRDefault="00B513DC">
            <w:pPr>
              <w:pStyle w:val="afffffffff6"/>
              <w:rPr>
                <w:rFonts w:hAnsi="宋体"/>
                <w:szCs w:val="18"/>
              </w:rPr>
            </w:pPr>
          </w:p>
        </w:tc>
        <w:tc>
          <w:tcPr>
            <w:tcW w:w="992"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w:t>
            </w:r>
          </w:p>
        </w:tc>
        <w:tc>
          <w:tcPr>
            <w:tcW w:w="2823" w:type="dxa"/>
            <w:vMerge/>
            <w:shd w:val="clear" w:color="auto" w:fill="auto"/>
            <w:vAlign w:val="center"/>
          </w:tcPr>
          <w:p w:rsidR="00B513DC" w:rsidRDefault="00B513DC">
            <w:pPr>
              <w:spacing w:line="300" w:lineRule="exact"/>
              <w:jc w:val="center"/>
              <w:rPr>
                <w:rFonts w:ascii="宋体" w:hAnsi="宋体"/>
                <w:sz w:val="18"/>
                <w:szCs w:val="18"/>
              </w:rPr>
            </w:pPr>
          </w:p>
        </w:tc>
      </w:tr>
      <w:tr w:rsidR="00B513DC">
        <w:trPr>
          <w:jc w:val="center"/>
        </w:trPr>
        <w:tc>
          <w:tcPr>
            <w:tcW w:w="834" w:type="dxa"/>
            <w:shd w:val="clear" w:color="auto" w:fill="auto"/>
            <w:vAlign w:val="center"/>
          </w:tcPr>
          <w:p w:rsidR="00B513DC" w:rsidRDefault="0057285D">
            <w:pPr>
              <w:pStyle w:val="afffffffff6"/>
              <w:rPr>
                <w:rFonts w:hAnsi="宋体"/>
                <w:szCs w:val="18"/>
              </w:rPr>
            </w:pPr>
            <w:r>
              <w:rPr>
                <w:rFonts w:hAnsi="宋体" w:hint="eastAsia"/>
                <w:szCs w:val="18"/>
              </w:rPr>
              <w:t>3</w:t>
            </w:r>
          </w:p>
        </w:tc>
        <w:tc>
          <w:tcPr>
            <w:tcW w:w="716" w:type="dxa"/>
            <w:vMerge/>
          </w:tcPr>
          <w:p w:rsidR="00B513DC" w:rsidRDefault="00B513DC">
            <w:pPr>
              <w:spacing w:line="300" w:lineRule="exact"/>
              <w:jc w:val="center"/>
              <w:rPr>
                <w:rFonts w:ascii="宋体" w:hAnsi="宋体"/>
                <w:sz w:val="18"/>
                <w:szCs w:val="18"/>
              </w:rPr>
            </w:pPr>
          </w:p>
        </w:tc>
        <w:tc>
          <w:tcPr>
            <w:tcW w:w="1134"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对角线差</w:t>
            </w:r>
          </w:p>
        </w:tc>
        <w:tc>
          <w:tcPr>
            <w:tcW w:w="1559"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5</w:t>
            </w:r>
          </w:p>
        </w:tc>
        <w:tc>
          <w:tcPr>
            <w:tcW w:w="1276" w:type="dxa"/>
            <w:vMerge/>
            <w:shd w:val="clear" w:color="auto" w:fill="auto"/>
            <w:vAlign w:val="center"/>
          </w:tcPr>
          <w:p w:rsidR="00B513DC" w:rsidRDefault="00B513DC">
            <w:pPr>
              <w:pStyle w:val="afffffffff6"/>
              <w:rPr>
                <w:rFonts w:hAnsi="宋体"/>
                <w:szCs w:val="18"/>
              </w:rPr>
            </w:pPr>
          </w:p>
        </w:tc>
        <w:tc>
          <w:tcPr>
            <w:tcW w:w="992"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w:t>
            </w:r>
          </w:p>
        </w:tc>
        <w:tc>
          <w:tcPr>
            <w:tcW w:w="282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用钢尺测量两对角线方向，取大值</w:t>
            </w:r>
          </w:p>
        </w:tc>
      </w:tr>
      <w:tr w:rsidR="00B513DC">
        <w:trPr>
          <w:jc w:val="center"/>
        </w:trPr>
        <w:tc>
          <w:tcPr>
            <w:tcW w:w="834" w:type="dxa"/>
            <w:shd w:val="clear" w:color="auto" w:fill="auto"/>
            <w:vAlign w:val="center"/>
          </w:tcPr>
          <w:p w:rsidR="00B513DC" w:rsidRDefault="0057285D">
            <w:pPr>
              <w:pStyle w:val="afffffffff6"/>
              <w:rPr>
                <w:rFonts w:hAnsi="宋体"/>
                <w:szCs w:val="18"/>
              </w:rPr>
            </w:pPr>
            <w:r>
              <w:rPr>
                <w:rFonts w:hAnsi="宋体" w:hint="eastAsia"/>
                <w:szCs w:val="18"/>
              </w:rPr>
              <w:t>4</w:t>
            </w:r>
          </w:p>
        </w:tc>
        <w:tc>
          <w:tcPr>
            <w:tcW w:w="716" w:type="dxa"/>
            <w:vMerge/>
          </w:tcPr>
          <w:p w:rsidR="00B513DC" w:rsidRDefault="00B513DC">
            <w:pPr>
              <w:spacing w:line="300" w:lineRule="exact"/>
              <w:jc w:val="center"/>
              <w:rPr>
                <w:rFonts w:ascii="宋体" w:hAnsi="宋体"/>
                <w:sz w:val="18"/>
                <w:szCs w:val="18"/>
              </w:rPr>
            </w:pPr>
          </w:p>
        </w:tc>
        <w:tc>
          <w:tcPr>
            <w:tcW w:w="1134"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平整度</w:t>
            </w:r>
          </w:p>
        </w:tc>
        <w:tc>
          <w:tcPr>
            <w:tcW w:w="1559"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1276" w:type="dxa"/>
            <w:vMerge/>
            <w:shd w:val="clear" w:color="auto" w:fill="auto"/>
            <w:vAlign w:val="center"/>
          </w:tcPr>
          <w:p w:rsidR="00B513DC" w:rsidRDefault="00B513DC">
            <w:pPr>
              <w:pStyle w:val="afffffffff6"/>
              <w:rPr>
                <w:rFonts w:hAnsi="宋体"/>
                <w:szCs w:val="18"/>
              </w:rPr>
            </w:pPr>
          </w:p>
        </w:tc>
        <w:tc>
          <w:tcPr>
            <w:tcW w:w="992"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282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用钢直尺和塞尺测量</w:t>
            </w:r>
          </w:p>
        </w:tc>
      </w:tr>
      <w:tr w:rsidR="00B513DC">
        <w:trPr>
          <w:jc w:val="center"/>
        </w:trPr>
        <w:tc>
          <w:tcPr>
            <w:tcW w:w="834" w:type="dxa"/>
            <w:shd w:val="clear" w:color="auto" w:fill="auto"/>
            <w:vAlign w:val="center"/>
          </w:tcPr>
          <w:p w:rsidR="00B513DC" w:rsidRDefault="0057285D">
            <w:pPr>
              <w:pStyle w:val="afffffffff6"/>
              <w:rPr>
                <w:rFonts w:hAnsi="宋体"/>
                <w:szCs w:val="18"/>
              </w:rPr>
            </w:pPr>
            <w:r>
              <w:rPr>
                <w:rFonts w:hAnsi="宋体" w:hint="eastAsia"/>
                <w:szCs w:val="18"/>
              </w:rPr>
              <w:t>5</w:t>
            </w:r>
          </w:p>
        </w:tc>
        <w:tc>
          <w:tcPr>
            <w:tcW w:w="716" w:type="dxa"/>
            <w:vMerge/>
          </w:tcPr>
          <w:p w:rsidR="00B513DC" w:rsidRDefault="00B513DC">
            <w:pPr>
              <w:spacing w:line="300" w:lineRule="exact"/>
              <w:jc w:val="center"/>
              <w:rPr>
                <w:rFonts w:ascii="宋体" w:hAnsi="宋体"/>
                <w:sz w:val="18"/>
                <w:szCs w:val="18"/>
              </w:rPr>
            </w:pPr>
          </w:p>
        </w:tc>
        <w:tc>
          <w:tcPr>
            <w:tcW w:w="1134"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翘曲</w:t>
            </w:r>
          </w:p>
        </w:tc>
        <w:tc>
          <w:tcPr>
            <w:tcW w:w="1559"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3</w:t>
            </w:r>
          </w:p>
        </w:tc>
        <w:tc>
          <w:tcPr>
            <w:tcW w:w="1276" w:type="dxa"/>
            <w:vMerge/>
            <w:shd w:val="clear" w:color="auto" w:fill="auto"/>
            <w:vAlign w:val="center"/>
          </w:tcPr>
          <w:p w:rsidR="00B513DC" w:rsidRDefault="00B513DC">
            <w:pPr>
              <w:pStyle w:val="afffffffff6"/>
              <w:rPr>
                <w:rFonts w:hAnsi="宋体"/>
                <w:szCs w:val="18"/>
              </w:rPr>
            </w:pPr>
          </w:p>
        </w:tc>
        <w:tc>
          <w:tcPr>
            <w:tcW w:w="992"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w:t>
            </w:r>
          </w:p>
        </w:tc>
        <w:tc>
          <w:tcPr>
            <w:tcW w:w="282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用钢直尺和塞尺测量</w:t>
            </w:r>
          </w:p>
        </w:tc>
      </w:tr>
      <w:tr w:rsidR="00B513DC">
        <w:trPr>
          <w:jc w:val="center"/>
        </w:trPr>
        <w:tc>
          <w:tcPr>
            <w:tcW w:w="834" w:type="dxa"/>
            <w:shd w:val="clear" w:color="auto" w:fill="auto"/>
            <w:vAlign w:val="center"/>
          </w:tcPr>
          <w:p w:rsidR="00B513DC" w:rsidRDefault="0057285D">
            <w:pPr>
              <w:pStyle w:val="afffffffff6"/>
              <w:rPr>
                <w:rFonts w:hAnsi="宋体"/>
                <w:szCs w:val="18"/>
              </w:rPr>
            </w:pPr>
            <w:r>
              <w:rPr>
                <w:rFonts w:hAnsi="宋体" w:hint="eastAsia"/>
                <w:szCs w:val="18"/>
              </w:rPr>
              <w:t>6</w:t>
            </w:r>
          </w:p>
        </w:tc>
        <w:tc>
          <w:tcPr>
            <w:tcW w:w="716" w:type="dxa"/>
            <w:vMerge/>
          </w:tcPr>
          <w:p w:rsidR="00B513DC" w:rsidRDefault="00B513DC">
            <w:pPr>
              <w:spacing w:line="300" w:lineRule="exact"/>
              <w:jc w:val="center"/>
              <w:rPr>
                <w:rFonts w:ascii="宋体" w:hAnsi="宋体"/>
                <w:sz w:val="18"/>
                <w:szCs w:val="18"/>
              </w:rPr>
            </w:pPr>
          </w:p>
        </w:tc>
        <w:tc>
          <w:tcPr>
            <w:tcW w:w="1134"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滚轮位置</w:t>
            </w:r>
          </w:p>
        </w:tc>
        <w:tc>
          <w:tcPr>
            <w:tcW w:w="1559"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1276" w:type="dxa"/>
            <w:vMerge/>
            <w:shd w:val="clear" w:color="auto" w:fill="auto"/>
            <w:vAlign w:val="center"/>
          </w:tcPr>
          <w:p w:rsidR="00B513DC" w:rsidRDefault="00B513DC">
            <w:pPr>
              <w:pStyle w:val="afffffffff6"/>
              <w:rPr>
                <w:rFonts w:hAnsi="宋体"/>
                <w:szCs w:val="18"/>
              </w:rPr>
            </w:pPr>
          </w:p>
        </w:tc>
        <w:tc>
          <w:tcPr>
            <w:tcW w:w="992"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282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钢尺测量</w:t>
            </w:r>
          </w:p>
        </w:tc>
      </w:tr>
      <w:tr w:rsidR="00B513DC">
        <w:trPr>
          <w:jc w:val="center"/>
        </w:trPr>
        <w:tc>
          <w:tcPr>
            <w:tcW w:w="834" w:type="dxa"/>
            <w:shd w:val="clear" w:color="auto" w:fill="auto"/>
            <w:vAlign w:val="center"/>
          </w:tcPr>
          <w:p w:rsidR="00B513DC" w:rsidRDefault="0057285D">
            <w:pPr>
              <w:pStyle w:val="afffffffff6"/>
              <w:rPr>
                <w:rFonts w:hAnsi="宋体"/>
                <w:szCs w:val="18"/>
              </w:rPr>
            </w:pPr>
            <w:r>
              <w:rPr>
                <w:rFonts w:hAnsi="宋体" w:hint="eastAsia"/>
                <w:szCs w:val="18"/>
              </w:rPr>
              <w:t>7</w:t>
            </w:r>
          </w:p>
        </w:tc>
        <w:tc>
          <w:tcPr>
            <w:tcW w:w="716" w:type="dxa"/>
            <w:vAlign w:val="center"/>
          </w:tcPr>
          <w:p w:rsidR="00B513DC" w:rsidRDefault="0057285D">
            <w:pPr>
              <w:spacing w:line="300" w:lineRule="exact"/>
              <w:jc w:val="center"/>
              <w:rPr>
                <w:rFonts w:ascii="宋体" w:hAnsi="宋体"/>
                <w:sz w:val="18"/>
                <w:szCs w:val="18"/>
              </w:rPr>
            </w:pPr>
            <w:r>
              <w:rPr>
                <w:rFonts w:ascii="宋体" w:hAnsi="宋体"/>
                <w:sz w:val="18"/>
                <w:szCs w:val="18"/>
              </w:rPr>
              <w:t>安装</w:t>
            </w:r>
          </w:p>
        </w:tc>
        <w:tc>
          <w:tcPr>
            <w:tcW w:w="1134"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平面位置</w:t>
            </w:r>
          </w:p>
        </w:tc>
        <w:tc>
          <w:tcPr>
            <w:tcW w:w="1559"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±10</w:t>
            </w:r>
          </w:p>
        </w:tc>
        <w:tc>
          <w:tcPr>
            <w:tcW w:w="1276" w:type="dxa"/>
            <w:vMerge/>
            <w:shd w:val="clear" w:color="auto" w:fill="auto"/>
            <w:vAlign w:val="center"/>
          </w:tcPr>
          <w:p w:rsidR="00B513DC" w:rsidRDefault="00B513DC">
            <w:pPr>
              <w:pStyle w:val="afffffffff6"/>
              <w:rPr>
                <w:rFonts w:hAnsi="宋体"/>
                <w:szCs w:val="18"/>
              </w:rPr>
            </w:pPr>
          </w:p>
        </w:tc>
        <w:tc>
          <w:tcPr>
            <w:tcW w:w="992"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2</w:t>
            </w:r>
          </w:p>
        </w:tc>
        <w:tc>
          <w:tcPr>
            <w:tcW w:w="282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sz w:val="18"/>
                <w:szCs w:val="18"/>
              </w:rPr>
              <w:t>用钢尺测量纵横两方向</w:t>
            </w:r>
          </w:p>
        </w:tc>
      </w:tr>
      <w:tr w:rsidR="00B513DC">
        <w:trPr>
          <w:jc w:val="center"/>
        </w:trPr>
        <w:tc>
          <w:tcPr>
            <w:tcW w:w="9334" w:type="dxa"/>
            <w:gridSpan w:val="7"/>
            <w:shd w:val="clear" w:color="auto" w:fill="auto"/>
            <w:vAlign w:val="center"/>
          </w:tcPr>
          <w:p w:rsidR="00B513DC" w:rsidRDefault="0057285D">
            <w:pPr>
              <w:pStyle w:val="afff2"/>
              <w:rPr>
                <w:kern w:val="2"/>
                <w:sz w:val="21"/>
                <w:szCs w:val="21"/>
              </w:rPr>
            </w:pPr>
            <w:r>
              <w:t>序号7项的偏差为</w:t>
            </w:r>
            <w:proofErr w:type="gramStart"/>
            <w:r>
              <w:t>抱桩器安装</w:t>
            </w:r>
            <w:proofErr w:type="gramEnd"/>
            <w:r>
              <w:t>位置与根据实际桩位进行调整后的</w:t>
            </w:r>
            <w:proofErr w:type="gramStart"/>
            <w:r>
              <w:t>抱桩器设计</w:t>
            </w:r>
            <w:proofErr w:type="gramEnd"/>
            <w:r>
              <w:t>位置的偏差。</w:t>
            </w:r>
          </w:p>
        </w:tc>
      </w:tr>
    </w:tbl>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ffff2"/>
        <w:ind w:firstLine="420"/>
      </w:pPr>
    </w:p>
    <w:p w:rsidR="00B513DC" w:rsidRDefault="00B513DC">
      <w:pPr>
        <w:pStyle w:val="af8"/>
        <w:rPr>
          <w:vanish w:val="0"/>
        </w:rPr>
      </w:pPr>
    </w:p>
    <w:p w:rsidR="00B513DC" w:rsidRDefault="00B513DC">
      <w:pPr>
        <w:pStyle w:val="afe"/>
        <w:rPr>
          <w:vanish w:val="0"/>
        </w:rPr>
      </w:pPr>
    </w:p>
    <w:p w:rsidR="00B513DC" w:rsidRDefault="0057285D">
      <w:pPr>
        <w:pStyle w:val="aff3"/>
        <w:spacing w:after="156"/>
      </w:pPr>
      <w:r>
        <w:lastRenderedPageBreak/>
        <w:br/>
      </w:r>
      <w:r>
        <w:rPr>
          <w:rFonts w:hint="eastAsia"/>
        </w:rPr>
        <w:t>（资料性）</w:t>
      </w:r>
      <w:r>
        <w:br/>
      </w:r>
      <w:r>
        <w:rPr>
          <w:rFonts w:hint="eastAsia"/>
        </w:rPr>
        <w:t>水上旅游运输码头管理评价表</w:t>
      </w:r>
    </w:p>
    <w:p w:rsidR="00B513DC" w:rsidRDefault="0057285D">
      <w:pPr>
        <w:pStyle w:val="afffff2"/>
        <w:ind w:firstLine="420"/>
      </w:pPr>
      <w:r>
        <w:t>水上旅游运输码头管理评价表见表</w:t>
      </w:r>
      <w:r>
        <w:rPr>
          <w:rFonts w:hint="eastAsia"/>
        </w:rPr>
        <w:t>C</w:t>
      </w:r>
      <w:r>
        <w:t>.1。</w:t>
      </w:r>
    </w:p>
    <w:p w:rsidR="00B513DC" w:rsidRDefault="0057285D">
      <w:pPr>
        <w:pStyle w:val="aff"/>
        <w:spacing w:before="156" w:after="156"/>
      </w:pPr>
      <w:r>
        <w:t>水上旅游运输码头管理评价表</w:t>
      </w:r>
    </w:p>
    <w:tbl>
      <w:tblPr>
        <w:tblStyle w:val="a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5103"/>
        <w:gridCol w:w="850"/>
        <w:gridCol w:w="851"/>
        <w:gridCol w:w="1417"/>
      </w:tblGrid>
      <w:tr w:rsidR="00B513DC">
        <w:trPr>
          <w:trHeight w:val="392"/>
          <w:tblHeader/>
          <w:jc w:val="center"/>
        </w:trPr>
        <w:tc>
          <w:tcPr>
            <w:tcW w:w="983" w:type="dxa"/>
            <w:vMerge w:val="restart"/>
            <w:tcBorders>
              <w:top w:val="single" w:sz="8" w:space="0" w:color="auto"/>
            </w:tcBorders>
            <w:shd w:val="clear" w:color="auto" w:fill="auto"/>
            <w:vAlign w:val="center"/>
          </w:tcPr>
          <w:p w:rsidR="00B513DC" w:rsidRDefault="0057285D">
            <w:pPr>
              <w:pStyle w:val="afffffffff6"/>
            </w:pPr>
            <w:r>
              <w:t>评价项目</w:t>
            </w:r>
          </w:p>
        </w:tc>
        <w:tc>
          <w:tcPr>
            <w:tcW w:w="5103" w:type="dxa"/>
            <w:vMerge w:val="restart"/>
            <w:tcBorders>
              <w:top w:val="single" w:sz="8" w:space="0" w:color="auto"/>
            </w:tcBorders>
            <w:shd w:val="clear" w:color="auto" w:fill="auto"/>
            <w:vAlign w:val="center"/>
          </w:tcPr>
          <w:p w:rsidR="00B513DC" w:rsidRDefault="0057285D">
            <w:pPr>
              <w:pStyle w:val="afffffffff6"/>
            </w:pPr>
            <w:r>
              <w:t>评价内容</w:t>
            </w:r>
          </w:p>
        </w:tc>
        <w:tc>
          <w:tcPr>
            <w:tcW w:w="1701" w:type="dxa"/>
            <w:gridSpan w:val="2"/>
            <w:tcBorders>
              <w:top w:val="single" w:sz="8" w:space="0" w:color="auto"/>
              <w:bottom w:val="single" w:sz="8" w:space="0" w:color="auto"/>
            </w:tcBorders>
            <w:shd w:val="clear" w:color="auto" w:fill="auto"/>
            <w:vAlign w:val="center"/>
          </w:tcPr>
          <w:p w:rsidR="00B513DC" w:rsidRDefault="0057285D">
            <w:pPr>
              <w:pStyle w:val="afffffffff6"/>
            </w:pPr>
            <w:r>
              <w:t>评价</w:t>
            </w:r>
            <w:r>
              <w:rPr>
                <w:rFonts w:hint="eastAsia"/>
              </w:rPr>
              <w:t>结果</w:t>
            </w:r>
          </w:p>
        </w:tc>
        <w:tc>
          <w:tcPr>
            <w:tcW w:w="1417" w:type="dxa"/>
            <w:vMerge w:val="restart"/>
            <w:tcBorders>
              <w:top w:val="single" w:sz="8" w:space="0" w:color="auto"/>
            </w:tcBorders>
            <w:shd w:val="clear" w:color="auto" w:fill="auto"/>
            <w:vAlign w:val="center"/>
          </w:tcPr>
          <w:p w:rsidR="00B513DC" w:rsidRDefault="0057285D">
            <w:pPr>
              <w:pStyle w:val="afffffffff6"/>
            </w:pPr>
            <w:r>
              <w:t>备注</w:t>
            </w:r>
          </w:p>
        </w:tc>
      </w:tr>
      <w:tr w:rsidR="00B513DC">
        <w:trPr>
          <w:trHeight w:val="256"/>
          <w:jc w:val="center"/>
        </w:trPr>
        <w:tc>
          <w:tcPr>
            <w:tcW w:w="983" w:type="dxa"/>
            <w:vMerge/>
            <w:shd w:val="clear" w:color="auto" w:fill="auto"/>
            <w:vAlign w:val="center"/>
          </w:tcPr>
          <w:p w:rsidR="00B513DC" w:rsidRDefault="00B513DC">
            <w:pPr>
              <w:pStyle w:val="afffffffff6"/>
            </w:pPr>
          </w:p>
        </w:tc>
        <w:tc>
          <w:tcPr>
            <w:tcW w:w="5103" w:type="dxa"/>
            <w:vMerge/>
            <w:shd w:val="clear" w:color="auto" w:fill="auto"/>
            <w:vAlign w:val="center"/>
          </w:tcPr>
          <w:p w:rsidR="00B513DC" w:rsidRDefault="00B513DC">
            <w:pPr>
              <w:pStyle w:val="afffffffff6"/>
            </w:pPr>
          </w:p>
        </w:tc>
        <w:tc>
          <w:tcPr>
            <w:tcW w:w="850" w:type="dxa"/>
            <w:tcBorders>
              <w:top w:val="single" w:sz="8" w:space="0" w:color="auto"/>
            </w:tcBorders>
            <w:shd w:val="clear" w:color="auto" w:fill="auto"/>
            <w:vAlign w:val="center"/>
          </w:tcPr>
          <w:p w:rsidR="00B513DC" w:rsidRDefault="0057285D">
            <w:pPr>
              <w:pStyle w:val="afffffffff6"/>
            </w:pPr>
            <w:r>
              <w:t>合格</w:t>
            </w:r>
          </w:p>
        </w:tc>
        <w:tc>
          <w:tcPr>
            <w:tcW w:w="851" w:type="dxa"/>
            <w:tcBorders>
              <w:top w:val="single" w:sz="8" w:space="0" w:color="auto"/>
            </w:tcBorders>
            <w:shd w:val="clear" w:color="auto" w:fill="auto"/>
            <w:vAlign w:val="center"/>
          </w:tcPr>
          <w:p w:rsidR="00B513DC" w:rsidRDefault="0057285D">
            <w:pPr>
              <w:pStyle w:val="afffffffff6"/>
            </w:pPr>
            <w:r>
              <w:t>不合格</w:t>
            </w:r>
          </w:p>
        </w:tc>
        <w:tc>
          <w:tcPr>
            <w:tcW w:w="1417" w:type="dxa"/>
            <w:vMerge/>
            <w:shd w:val="clear" w:color="auto" w:fill="auto"/>
            <w:vAlign w:val="center"/>
          </w:tcPr>
          <w:p w:rsidR="00B513DC" w:rsidRDefault="00B513DC">
            <w:pPr>
              <w:pStyle w:val="afffffffff6"/>
            </w:pPr>
          </w:p>
        </w:tc>
      </w:tr>
      <w:tr w:rsidR="00B513DC">
        <w:trPr>
          <w:trHeight w:val="498"/>
          <w:jc w:val="center"/>
        </w:trPr>
        <w:tc>
          <w:tcPr>
            <w:tcW w:w="9204" w:type="dxa"/>
            <w:gridSpan w:val="5"/>
            <w:shd w:val="clear" w:color="auto" w:fill="auto"/>
            <w:vAlign w:val="center"/>
          </w:tcPr>
          <w:p w:rsidR="00B513DC" w:rsidRDefault="0057285D">
            <w:pPr>
              <w:pStyle w:val="afffffffff6"/>
              <w:spacing w:beforeLines="20" w:before="62" w:afterLines="20" w:after="62"/>
            </w:pPr>
            <w:r>
              <w:t>一</w:t>
            </w:r>
            <w:r>
              <w:rPr>
                <w:rFonts w:hint="eastAsia"/>
              </w:rPr>
              <w:t>、码头设施</w:t>
            </w:r>
          </w:p>
        </w:tc>
      </w:tr>
      <w:tr w:rsidR="00B513DC">
        <w:trPr>
          <w:jc w:val="center"/>
        </w:trPr>
        <w:tc>
          <w:tcPr>
            <w:tcW w:w="983" w:type="dxa"/>
            <w:vMerge w:val="restart"/>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码头结构</w:t>
            </w:r>
          </w:p>
        </w:tc>
        <w:tc>
          <w:tcPr>
            <w:tcW w:w="5103" w:type="dxa"/>
            <w:shd w:val="clear" w:color="auto" w:fill="auto"/>
            <w:vAlign w:val="center"/>
          </w:tcPr>
          <w:p w:rsidR="00B513DC" w:rsidRDefault="0057285D">
            <w:pPr>
              <w:jc w:val="center"/>
              <w:rPr>
                <w:rFonts w:ascii="宋体" w:hAnsi="宋体"/>
                <w:sz w:val="18"/>
                <w:szCs w:val="18"/>
              </w:rPr>
            </w:pPr>
            <w:proofErr w:type="gramStart"/>
            <w:r>
              <w:rPr>
                <w:rFonts w:ascii="宋体" w:hAnsi="宋体" w:hint="eastAsia"/>
                <w:sz w:val="18"/>
                <w:szCs w:val="18"/>
              </w:rPr>
              <w:t>接岸结构</w:t>
            </w:r>
            <w:proofErr w:type="gramEnd"/>
            <w:r>
              <w:rPr>
                <w:rFonts w:ascii="宋体" w:hAnsi="宋体" w:hint="eastAsia"/>
                <w:sz w:val="18"/>
                <w:szCs w:val="18"/>
              </w:rPr>
              <w:t>前沿线顺直，无明显错台和弯曲</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通行设施临水侧的护栏无损坏、缺失现象</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构件无裂缝、变形、锈蚀等现象</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混凝土构件表面无严重缺陷、碰损</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浮桥铺面和斜坡道表面防滑措施</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焊接、螺栓连接等部位无松动、开裂等现象</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系</w:t>
            </w:r>
            <w:proofErr w:type="gramStart"/>
            <w:r>
              <w:rPr>
                <w:rFonts w:ascii="宋体" w:hAnsi="宋体" w:hint="eastAsia"/>
                <w:sz w:val="18"/>
                <w:szCs w:val="18"/>
              </w:rPr>
              <w:t>船设施</w:t>
            </w:r>
            <w:proofErr w:type="gramEnd"/>
            <w:r>
              <w:rPr>
                <w:rFonts w:ascii="宋体" w:hAnsi="宋体" w:hint="eastAsia"/>
                <w:sz w:val="18"/>
                <w:szCs w:val="18"/>
              </w:rPr>
              <w:t>紧固，无损坏、缺失现象</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val="restart"/>
            <w:shd w:val="clear" w:color="auto" w:fill="auto"/>
            <w:vAlign w:val="center"/>
          </w:tcPr>
          <w:p w:rsidR="00B513DC" w:rsidRDefault="0057285D">
            <w:pPr>
              <w:pStyle w:val="afffffffff6"/>
              <w:rPr>
                <w:rFonts w:hAnsi="宋体"/>
                <w:szCs w:val="18"/>
              </w:rPr>
            </w:pPr>
            <w:r>
              <w:rPr>
                <w:rFonts w:hAnsi="宋体" w:hint="eastAsia"/>
                <w:szCs w:val="18"/>
              </w:rPr>
              <w:t>附属设施</w:t>
            </w: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电缆无破损、老化现象，接线紧固，供电设备运行正常</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照明设施无损坏、缺失现象，照明设施运行正常、安全可靠</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供水管道无漏水、堵塞情况</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消防器材配备齐全、有效</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助航设施配置齐全、有效</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jc w:val="center"/>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安全救生设备配置齐全</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jc w:val="center"/>
              <w:rPr>
                <w:rFonts w:ascii="宋体" w:hAnsi="宋体"/>
                <w:sz w:val="18"/>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垃圾收集等设施有专人负责保管与维护，保持状态良好</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jc w:val="center"/>
              <w:rPr>
                <w:rFonts w:ascii="宋体" w:hAnsi="宋体"/>
                <w:sz w:val="18"/>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标识内容是否清晰，有无被遮挡</w:t>
            </w:r>
            <w:r>
              <w:rPr>
                <w:rFonts w:ascii="宋体" w:hAnsi="宋体"/>
                <w:sz w:val="18"/>
                <w:szCs w:val="18"/>
              </w:rPr>
              <w:t>等情况</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jc w:val="center"/>
              <w:rPr>
                <w:rFonts w:ascii="宋体" w:hAnsi="宋体"/>
                <w:sz w:val="18"/>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手持式安检仪、安检机、金属探测</w:t>
            </w:r>
            <w:proofErr w:type="gramStart"/>
            <w:r>
              <w:rPr>
                <w:rFonts w:ascii="宋体" w:hAnsi="宋体" w:hint="eastAsia"/>
                <w:sz w:val="18"/>
                <w:szCs w:val="18"/>
              </w:rPr>
              <w:t>门正常</w:t>
            </w:r>
            <w:proofErr w:type="gramEnd"/>
            <w:r>
              <w:rPr>
                <w:rFonts w:ascii="宋体" w:hAnsi="宋体" w:hint="eastAsia"/>
                <w:sz w:val="18"/>
                <w:szCs w:val="18"/>
              </w:rPr>
              <w:t>运行</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jc w:val="center"/>
              <w:rPr>
                <w:rFonts w:ascii="宋体" w:hAnsi="宋体"/>
                <w:sz w:val="18"/>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广播、影视设备完好、音质清晰，紧急情况下能迅速响应</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204" w:type="dxa"/>
            <w:gridSpan w:val="5"/>
            <w:shd w:val="clear" w:color="auto" w:fill="auto"/>
            <w:vAlign w:val="center"/>
          </w:tcPr>
          <w:p w:rsidR="00B513DC" w:rsidRDefault="0057285D">
            <w:pPr>
              <w:pStyle w:val="afffffffff6"/>
              <w:spacing w:beforeLines="20" w:before="62" w:afterLines="20" w:after="62"/>
              <w:rPr>
                <w:rFonts w:hAnsi="宋体"/>
                <w:szCs w:val="18"/>
              </w:rPr>
            </w:pPr>
            <w:r>
              <w:rPr>
                <w:rFonts w:hAnsi="宋体"/>
                <w:szCs w:val="18"/>
              </w:rPr>
              <w:t>二</w:t>
            </w:r>
            <w:r>
              <w:rPr>
                <w:rFonts w:hAnsi="宋体" w:hint="eastAsia"/>
                <w:szCs w:val="18"/>
              </w:rPr>
              <w:t>、</w:t>
            </w:r>
            <w:r>
              <w:rPr>
                <w:rFonts w:hAnsi="宋体"/>
                <w:szCs w:val="18"/>
              </w:rPr>
              <w:t>管理服务</w:t>
            </w:r>
          </w:p>
        </w:tc>
      </w:tr>
      <w:tr w:rsidR="00B513DC">
        <w:trPr>
          <w:jc w:val="center"/>
        </w:trPr>
        <w:tc>
          <w:tcPr>
            <w:tcW w:w="983" w:type="dxa"/>
            <w:vMerge w:val="restart"/>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人员管理</w:t>
            </w: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工作主动热情，无发生与游客争执现象</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jc w:val="center"/>
              <w:rPr>
                <w:rFonts w:ascii="宋体" w:hAnsi="宋体"/>
                <w:sz w:val="18"/>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及时解答游客咨询提问，各项记录正确无误</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jc w:val="center"/>
              <w:rPr>
                <w:rFonts w:ascii="宋体" w:hAnsi="宋体"/>
                <w:sz w:val="18"/>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快速、细心、准确，无</w:t>
            </w:r>
            <w:proofErr w:type="gramStart"/>
            <w:r>
              <w:rPr>
                <w:rFonts w:ascii="宋体" w:hAnsi="宋体" w:hint="eastAsia"/>
                <w:sz w:val="18"/>
                <w:szCs w:val="18"/>
              </w:rPr>
              <w:t>漏检错检</w:t>
            </w:r>
            <w:proofErr w:type="gramEnd"/>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trHeight w:val="406"/>
          <w:jc w:val="center"/>
        </w:trPr>
        <w:tc>
          <w:tcPr>
            <w:tcW w:w="983" w:type="dxa"/>
            <w:vMerge/>
            <w:shd w:val="clear" w:color="auto" w:fill="auto"/>
            <w:vAlign w:val="center"/>
          </w:tcPr>
          <w:p w:rsidR="00B513DC" w:rsidRDefault="00B513DC">
            <w:pPr>
              <w:jc w:val="center"/>
              <w:rPr>
                <w:rFonts w:ascii="宋体" w:hAnsi="宋体"/>
                <w:sz w:val="18"/>
                <w:szCs w:val="18"/>
              </w:rPr>
            </w:pPr>
          </w:p>
        </w:tc>
        <w:tc>
          <w:tcPr>
            <w:tcW w:w="5103" w:type="dxa"/>
            <w:shd w:val="clear" w:color="auto" w:fill="auto"/>
            <w:vAlign w:val="center"/>
          </w:tcPr>
          <w:p w:rsidR="00B513DC" w:rsidRDefault="0057285D">
            <w:pPr>
              <w:spacing w:line="300" w:lineRule="exact"/>
              <w:jc w:val="center"/>
              <w:rPr>
                <w:rFonts w:ascii="宋体" w:hAnsi="宋体"/>
                <w:sz w:val="18"/>
                <w:szCs w:val="18"/>
              </w:rPr>
            </w:pPr>
            <w:r>
              <w:rPr>
                <w:rFonts w:ascii="宋体" w:hAnsi="宋体" w:hint="eastAsia"/>
                <w:sz w:val="18"/>
                <w:szCs w:val="18"/>
              </w:rPr>
              <w:t>主动引导游客，对特殊游客给予帮助。</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trHeight w:val="384"/>
          <w:jc w:val="center"/>
        </w:trPr>
        <w:tc>
          <w:tcPr>
            <w:tcW w:w="983" w:type="dxa"/>
            <w:vMerge/>
            <w:shd w:val="clear" w:color="auto" w:fill="auto"/>
            <w:vAlign w:val="center"/>
          </w:tcPr>
          <w:p w:rsidR="00B513DC" w:rsidRDefault="00B513DC">
            <w:pPr>
              <w:jc w:val="center"/>
              <w:rPr>
                <w:rFonts w:ascii="宋体" w:hAnsi="宋体"/>
                <w:sz w:val="18"/>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人员证件齐全且有效</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bl>
    <w:p w:rsidR="00B513DC" w:rsidRDefault="0057285D">
      <w:pPr>
        <w:pStyle w:val="afffff2"/>
        <w:pageBreakBefore/>
        <w:spacing w:beforeLines="50" w:before="156" w:afterLines="50" w:after="156"/>
        <w:ind w:firstLineChars="0" w:firstLine="0"/>
        <w:jc w:val="center"/>
        <w:rPr>
          <w:rFonts w:ascii="黑体" w:eastAsia="黑体" w:hAnsi="黑体"/>
        </w:rPr>
      </w:pPr>
      <w:r>
        <w:rPr>
          <w:rFonts w:ascii="黑体" w:eastAsia="黑体" w:hAnsi="黑体" w:hint="eastAsia"/>
        </w:rPr>
        <w:lastRenderedPageBreak/>
        <w:t>表C.1  水上旅游运输码头管理评价表</w:t>
      </w:r>
      <w:r>
        <w:rPr>
          <w:rFonts w:hAnsi="宋体" w:hint="eastAsia"/>
        </w:rPr>
        <w:t>（续）</w:t>
      </w:r>
    </w:p>
    <w:tbl>
      <w:tblPr>
        <w:tblStyle w:val="a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5103"/>
        <w:gridCol w:w="850"/>
        <w:gridCol w:w="851"/>
        <w:gridCol w:w="1417"/>
      </w:tblGrid>
      <w:tr w:rsidR="00B513DC">
        <w:trPr>
          <w:trHeight w:val="392"/>
          <w:tblHeader/>
          <w:jc w:val="center"/>
        </w:trPr>
        <w:tc>
          <w:tcPr>
            <w:tcW w:w="983" w:type="dxa"/>
            <w:vMerge w:val="restart"/>
            <w:tcBorders>
              <w:top w:val="single" w:sz="8" w:space="0" w:color="auto"/>
            </w:tcBorders>
            <w:shd w:val="clear" w:color="auto" w:fill="auto"/>
            <w:vAlign w:val="center"/>
          </w:tcPr>
          <w:p w:rsidR="00B513DC" w:rsidRDefault="0057285D">
            <w:pPr>
              <w:pStyle w:val="afffffffff6"/>
            </w:pPr>
            <w:r>
              <w:t>评价项目</w:t>
            </w:r>
          </w:p>
        </w:tc>
        <w:tc>
          <w:tcPr>
            <w:tcW w:w="5103" w:type="dxa"/>
            <w:vMerge w:val="restart"/>
            <w:tcBorders>
              <w:top w:val="single" w:sz="8" w:space="0" w:color="auto"/>
            </w:tcBorders>
            <w:shd w:val="clear" w:color="auto" w:fill="auto"/>
            <w:vAlign w:val="center"/>
          </w:tcPr>
          <w:p w:rsidR="00B513DC" w:rsidRDefault="0057285D">
            <w:pPr>
              <w:pStyle w:val="afffffffff6"/>
            </w:pPr>
            <w:r>
              <w:t>评价内容</w:t>
            </w:r>
          </w:p>
        </w:tc>
        <w:tc>
          <w:tcPr>
            <w:tcW w:w="1701" w:type="dxa"/>
            <w:gridSpan w:val="2"/>
            <w:tcBorders>
              <w:top w:val="single" w:sz="8" w:space="0" w:color="auto"/>
              <w:bottom w:val="single" w:sz="8" w:space="0" w:color="auto"/>
            </w:tcBorders>
            <w:shd w:val="clear" w:color="auto" w:fill="auto"/>
            <w:vAlign w:val="center"/>
          </w:tcPr>
          <w:p w:rsidR="00B513DC" w:rsidRDefault="0057285D">
            <w:pPr>
              <w:pStyle w:val="afffffffff6"/>
            </w:pPr>
            <w:r>
              <w:t>评价</w:t>
            </w:r>
            <w:r>
              <w:rPr>
                <w:rFonts w:hint="eastAsia"/>
              </w:rPr>
              <w:t>结果</w:t>
            </w:r>
          </w:p>
        </w:tc>
        <w:tc>
          <w:tcPr>
            <w:tcW w:w="1417" w:type="dxa"/>
            <w:vMerge w:val="restart"/>
            <w:tcBorders>
              <w:top w:val="single" w:sz="8" w:space="0" w:color="auto"/>
            </w:tcBorders>
            <w:shd w:val="clear" w:color="auto" w:fill="auto"/>
            <w:vAlign w:val="center"/>
          </w:tcPr>
          <w:p w:rsidR="00B513DC" w:rsidRDefault="0057285D">
            <w:pPr>
              <w:pStyle w:val="afffffffff6"/>
            </w:pPr>
            <w:r>
              <w:t>备注</w:t>
            </w:r>
          </w:p>
        </w:tc>
      </w:tr>
      <w:tr w:rsidR="00B513DC">
        <w:trPr>
          <w:trHeight w:val="256"/>
          <w:jc w:val="center"/>
        </w:trPr>
        <w:tc>
          <w:tcPr>
            <w:tcW w:w="983" w:type="dxa"/>
            <w:vMerge/>
            <w:shd w:val="clear" w:color="auto" w:fill="auto"/>
            <w:vAlign w:val="center"/>
          </w:tcPr>
          <w:p w:rsidR="00B513DC" w:rsidRDefault="00B513DC">
            <w:pPr>
              <w:pStyle w:val="afffffffff6"/>
            </w:pPr>
          </w:p>
        </w:tc>
        <w:tc>
          <w:tcPr>
            <w:tcW w:w="5103" w:type="dxa"/>
            <w:vMerge/>
            <w:shd w:val="clear" w:color="auto" w:fill="auto"/>
            <w:vAlign w:val="center"/>
          </w:tcPr>
          <w:p w:rsidR="00B513DC" w:rsidRDefault="00B513DC">
            <w:pPr>
              <w:pStyle w:val="afffffffff6"/>
            </w:pPr>
          </w:p>
        </w:tc>
        <w:tc>
          <w:tcPr>
            <w:tcW w:w="850" w:type="dxa"/>
            <w:tcBorders>
              <w:top w:val="single" w:sz="8" w:space="0" w:color="auto"/>
            </w:tcBorders>
            <w:shd w:val="clear" w:color="auto" w:fill="auto"/>
            <w:vAlign w:val="center"/>
          </w:tcPr>
          <w:p w:rsidR="00B513DC" w:rsidRDefault="0057285D">
            <w:pPr>
              <w:pStyle w:val="afffffffff6"/>
            </w:pPr>
            <w:r>
              <w:t>合格</w:t>
            </w:r>
          </w:p>
        </w:tc>
        <w:tc>
          <w:tcPr>
            <w:tcW w:w="851" w:type="dxa"/>
            <w:tcBorders>
              <w:top w:val="single" w:sz="8" w:space="0" w:color="auto"/>
            </w:tcBorders>
            <w:shd w:val="clear" w:color="auto" w:fill="auto"/>
            <w:vAlign w:val="center"/>
          </w:tcPr>
          <w:p w:rsidR="00B513DC" w:rsidRDefault="0057285D">
            <w:pPr>
              <w:pStyle w:val="afffffffff6"/>
            </w:pPr>
            <w:r>
              <w:t>不合格</w:t>
            </w:r>
          </w:p>
        </w:tc>
        <w:tc>
          <w:tcPr>
            <w:tcW w:w="1417" w:type="dxa"/>
            <w:vMerge/>
            <w:shd w:val="clear" w:color="auto" w:fill="auto"/>
            <w:vAlign w:val="center"/>
          </w:tcPr>
          <w:p w:rsidR="00B513DC" w:rsidRDefault="00B513DC">
            <w:pPr>
              <w:pStyle w:val="afffffffff6"/>
            </w:pPr>
          </w:p>
        </w:tc>
      </w:tr>
      <w:tr w:rsidR="00B513DC">
        <w:trPr>
          <w:trHeight w:val="256"/>
          <w:jc w:val="center"/>
        </w:trPr>
        <w:tc>
          <w:tcPr>
            <w:tcW w:w="983" w:type="dxa"/>
            <w:shd w:val="clear" w:color="auto" w:fill="auto"/>
            <w:vAlign w:val="center"/>
          </w:tcPr>
          <w:p w:rsidR="00B513DC" w:rsidRDefault="00B513DC">
            <w:pPr>
              <w:jc w:val="center"/>
              <w:rPr>
                <w:rFonts w:ascii="宋体" w:hAnsi="宋体"/>
                <w:sz w:val="18"/>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安全相关岗位齐全，人员配备充足</w:t>
            </w:r>
          </w:p>
        </w:tc>
        <w:tc>
          <w:tcPr>
            <w:tcW w:w="850" w:type="dxa"/>
            <w:tcBorders>
              <w:top w:val="single" w:sz="8" w:space="0" w:color="auto"/>
            </w:tcBorders>
            <w:shd w:val="clear" w:color="auto" w:fill="auto"/>
            <w:vAlign w:val="center"/>
          </w:tcPr>
          <w:p w:rsidR="00B513DC" w:rsidRDefault="00B513DC">
            <w:pPr>
              <w:pStyle w:val="afffffffff6"/>
            </w:pPr>
          </w:p>
        </w:tc>
        <w:tc>
          <w:tcPr>
            <w:tcW w:w="851" w:type="dxa"/>
            <w:tcBorders>
              <w:top w:val="single" w:sz="8" w:space="0" w:color="auto"/>
            </w:tcBorders>
            <w:shd w:val="clear" w:color="auto" w:fill="auto"/>
            <w:vAlign w:val="center"/>
          </w:tcPr>
          <w:p w:rsidR="00B513DC" w:rsidRDefault="00B513DC">
            <w:pPr>
              <w:pStyle w:val="afffffffff6"/>
            </w:pPr>
          </w:p>
        </w:tc>
        <w:tc>
          <w:tcPr>
            <w:tcW w:w="1417" w:type="dxa"/>
            <w:shd w:val="clear" w:color="auto" w:fill="auto"/>
            <w:vAlign w:val="center"/>
          </w:tcPr>
          <w:p w:rsidR="00B513DC" w:rsidRDefault="00B513DC">
            <w:pPr>
              <w:pStyle w:val="afffffffff6"/>
            </w:pPr>
          </w:p>
        </w:tc>
      </w:tr>
      <w:tr w:rsidR="00B513DC">
        <w:trPr>
          <w:jc w:val="center"/>
        </w:trPr>
        <w:tc>
          <w:tcPr>
            <w:tcW w:w="983" w:type="dxa"/>
            <w:vMerge w:val="restart"/>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安全管理</w:t>
            </w: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每日对码头安全设备、设施进行检查，检查记录可追溯</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jc w:val="center"/>
              <w:rPr>
                <w:rFonts w:ascii="宋体" w:hAnsi="宋体"/>
                <w:sz w:val="18"/>
                <w:szCs w:val="18"/>
              </w:rPr>
            </w:pPr>
          </w:p>
        </w:tc>
      </w:tr>
      <w:tr w:rsidR="00B513DC">
        <w:trPr>
          <w:jc w:val="center"/>
        </w:trPr>
        <w:tc>
          <w:tcPr>
            <w:tcW w:w="983" w:type="dxa"/>
            <w:vMerge/>
            <w:shd w:val="clear" w:color="auto" w:fill="auto"/>
            <w:vAlign w:val="center"/>
          </w:tcPr>
          <w:p w:rsidR="00B513DC" w:rsidRDefault="00B513DC">
            <w:pPr>
              <w:jc w:val="center"/>
              <w:rPr>
                <w:rFonts w:ascii="宋体" w:hAnsi="宋体"/>
                <w:sz w:val="18"/>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全员安全生产责任制内容齐全</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安全管理制度体齐全、有效，管理材料可追溯</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pPr>
            <w:r>
              <w:rPr>
                <w:rFonts w:ascii="宋体" w:hAnsi="宋体" w:hint="eastAsia"/>
                <w:sz w:val="18"/>
                <w:szCs w:val="18"/>
              </w:rPr>
              <w:t>从业人员经过岗前安全教育，安全教育材料齐全</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制定应急预案，定期组织演练</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燃料供应方资质材料齐全</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安全设备设施和操作行为符合安全要求</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val="restart"/>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服务管理</w:t>
            </w: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提供安全有效的便民设施及药品等服务，</w:t>
            </w:r>
          </w:p>
          <w:p w:rsidR="00B513DC" w:rsidRDefault="0057285D">
            <w:pPr>
              <w:jc w:val="center"/>
              <w:rPr>
                <w:rFonts w:ascii="宋体" w:hAnsi="宋体"/>
                <w:sz w:val="18"/>
                <w:szCs w:val="18"/>
              </w:rPr>
            </w:pPr>
            <w:r>
              <w:rPr>
                <w:rFonts w:ascii="宋体" w:hAnsi="宋体" w:hint="eastAsia"/>
                <w:sz w:val="18"/>
                <w:szCs w:val="18"/>
              </w:rPr>
              <w:t>对老、弱、病、残、孕等游客给予特殊照顾</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客舱、公共场所、卫生间的卫生清洁工作</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安全注意事项、乘船须知、交通时刻表、禁带物品等信息有效性</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val="restart"/>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环境管理</w:t>
            </w: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生活污水、清洗污水、油污水排放情况</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废弃物回收箱 (筒) 密闭性，环保垃圾袋更换及时性</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垃圾的日常收集、储存和记录工作，警示标语张贴位置</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vMerge/>
            <w:shd w:val="clear" w:color="auto" w:fill="auto"/>
            <w:vAlign w:val="center"/>
          </w:tcPr>
          <w:p w:rsidR="00B513DC" w:rsidRDefault="00B513DC">
            <w:pPr>
              <w:pStyle w:val="afffffffff6"/>
              <w:rPr>
                <w:rFonts w:hAnsi="宋体"/>
                <w:szCs w:val="18"/>
              </w:rPr>
            </w:pP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相关服务场所的环境卫生应符合相关标准要求</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r w:rsidR="00B513DC">
        <w:trPr>
          <w:jc w:val="center"/>
        </w:trPr>
        <w:tc>
          <w:tcPr>
            <w:tcW w:w="98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档案管理</w:t>
            </w:r>
          </w:p>
        </w:tc>
        <w:tc>
          <w:tcPr>
            <w:tcW w:w="5103" w:type="dxa"/>
            <w:shd w:val="clear" w:color="auto" w:fill="auto"/>
            <w:vAlign w:val="center"/>
          </w:tcPr>
          <w:p w:rsidR="00B513DC" w:rsidRDefault="0057285D">
            <w:pPr>
              <w:jc w:val="center"/>
              <w:rPr>
                <w:rFonts w:ascii="宋体" w:hAnsi="宋体"/>
                <w:sz w:val="18"/>
                <w:szCs w:val="18"/>
              </w:rPr>
            </w:pPr>
            <w:r>
              <w:rPr>
                <w:rFonts w:ascii="宋体" w:hAnsi="宋体" w:hint="eastAsia"/>
                <w:sz w:val="18"/>
                <w:szCs w:val="18"/>
              </w:rPr>
              <w:t>各类档案归档及时，材料齐全</w:t>
            </w:r>
          </w:p>
        </w:tc>
        <w:tc>
          <w:tcPr>
            <w:tcW w:w="850" w:type="dxa"/>
            <w:shd w:val="clear" w:color="auto" w:fill="auto"/>
            <w:vAlign w:val="center"/>
          </w:tcPr>
          <w:p w:rsidR="00B513DC" w:rsidRDefault="00B513DC">
            <w:pPr>
              <w:pStyle w:val="afffffffff6"/>
              <w:rPr>
                <w:rFonts w:hAnsi="宋体"/>
                <w:szCs w:val="18"/>
              </w:rPr>
            </w:pPr>
          </w:p>
        </w:tc>
        <w:tc>
          <w:tcPr>
            <w:tcW w:w="851" w:type="dxa"/>
            <w:shd w:val="clear" w:color="auto" w:fill="auto"/>
            <w:vAlign w:val="center"/>
          </w:tcPr>
          <w:p w:rsidR="00B513DC" w:rsidRDefault="00B513DC">
            <w:pPr>
              <w:pStyle w:val="afffffffff6"/>
              <w:rPr>
                <w:rFonts w:hAnsi="宋体"/>
                <w:szCs w:val="18"/>
              </w:rPr>
            </w:pPr>
          </w:p>
        </w:tc>
        <w:tc>
          <w:tcPr>
            <w:tcW w:w="1417" w:type="dxa"/>
            <w:shd w:val="clear" w:color="auto" w:fill="auto"/>
            <w:vAlign w:val="center"/>
          </w:tcPr>
          <w:p w:rsidR="00B513DC" w:rsidRDefault="00B513DC">
            <w:pPr>
              <w:pStyle w:val="afffffffff6"/>
              <w:rPr>
                <w:rFonts w:hAnsi="宋体"/>
                <w:szCs w:val="18"/>
              </w:rPr>
            </w:pPr>
          </w:p>
        </w:tc>
      </w:tr>
    </w:tbl>
    <w:p w:rsidR="00B513DC" w:rsidRDefault="00B513DC">
      <w:bookmarkStart w:id="46" w:name="BookMark8"/>
      <w:bookmarkEnd w:id="45"/>
    </w:p>
    <w:p w:rsidR="00B513DC" w:rsidRDefault="00B513DC"/>
    <w:p w:rsidR="00B513DC" w:rsidRDefault="00B513DC"/>
    <w:p w:rsidR="00B513DC" w:rsidRDefault="00B513DC"/>
    <w:p w:rsidR="00B513DC" w:rsidRDefault="00B513DC"/>
    <w:p w:rsidR="00B513DC" w:rsidRDefault="00B513DC"/>
    <w:p w:rsidR="00B513DC" w:rsidRDefault="00B513DC"/>
    <w:p w:rsidR="00B513DC" w:rsidRDefault="00B513DC"/>
    <w:p w:rsidR="00B513DC" w:rsidRDefault="00B513DC"/>
    <w:p w:rsidR="00B513DC" w:rsidRDefault="00B513DC"/>
    <w:p w:rsidR="00B513DC" w:rsidRDefault="00B513DC"/>
    <w:p w:rsidR="00B513DC" w:rsidRDefault="00B513DC"/>
    <w:p w:rsidR="00B513DC" w:rsidRDefault="00B513DC"/>
    <w:p w:rsidR="00B513DC" w:rsidRDefault="0057285D">
      <w:pPr>
        <w:pStyle w:val="afffff9"/>
        <w:spacing w:after="156"/>
        <w:rPr>
          <w:rFonts w:hAnsi="黑体"/>
        </w:rPr>
      </w:pPr>
      <w:r>
        <w:rPr>
          <w:rFonts w:hAnsi="黑体" w:hint="eastAsia"/>
          <w:spacing w:val="105"/>
        </w:rPr>
        <w:t>参考文</w:t>
      </w:r>
      <w:r>
        <w:rPr>
          <w:rFonts w:hAnsi="黑体" w:hint="eastAsia"/>
        </w:rPr>
        <w:t>献</w:t>
      </w:r>
    </w:p>
    <w:p w:rsidR="00B513DC" w:rsidRDefault="0057285D">
      <w:pPr>
        <w:pStyle w:val="afffff2"/>
        <w:ind w:firstLine="420"/>
        <w:rPr>
          <w:rFonts w:hAnsi="宋体"/>
          <w:szCs w:val="21"/>
        </w:rPr>
      </w:pPr>
      <w:r>
        <w:rPr>
          <w:rFonts w:hAnsi="宋体" w:hint="eastAsia"/>
        </w:rPr>
        <w:t xml:space="preserve">[1] GB/T 29639  生产经营单位生产安全事故应急预案编制导则 </w:t>
      </w:r>
    </w:p>
    <w:p w:rsidR="00B513DC" w:rsidRDefault="0057285D">
      <w:pPr>
        <w:pStyle w:val="afffff2"/>
        <w:ind w:firstLine="420"/>
        <w:rPr>
          <w:rFonts w:hAnsi="宋体"/>
        </w:rPr>
      </w:pPr>
      <w:r>
        <w:rPr>
          <w:rFonts w:hAnsi="宋体" w:hint="eastAsia"/>
        </w:rPr>
        <w:t xml:space="preserve">[2] GB/T 35558 </w:t>
      </w:r>
      <w:r>
        <w:rPr>
          <w:rFonts w:hAnsi="宋体"/>
        </w:rPr>
        <w:t xml:space="preserve"> </w:t>
      </w:r>
      <w:r>
        <w:rPr>
          <w:rFonts w:hAnsi="宋体" w:hint="eastAsia"/>
        </w:rPr>
        <w:t xml:space="preserve">游艇管理服务规范 </w:t>
      </w:r>
    </w:p>
    <w:p w:rsidR="00B513DC" w:rsidRDefault="0057285D">
      <w:pPr>
        <w:pStyle w:val="afffff2"/>
        <w:ind w:firstLine="420"/>
        <w:rPr>
          <w:rFonts w:hAnsi="宋体"/>
        </w:rPr>
      </w:pPr>
      <w:r>
        <w:rPr>
          <w:rFonts w:hAnsi="宋体" w:hint="eastAsia"/>
        </w:rPr>
        <w:t xml:space="preserve">[3] GB 41847 </w:t>
      </w:r>
      <w:r>
        <w:rPr>
          <w:rFonts w:hAnsi="宋体"/>
        </w:rPr>
        <w:t xml:space="preserve"> </w:t>
      </w:r>
      <w:r>
        <w:rPr>
          <w:rFonts w:hAnsi="宋体" w:hint="eastAsia"/>
        </w:rPr>
        <w:t xml:space="preserve">港口防雷与接地技术要求 </w:t>
      </w:r>
    </w:p>
    <w:p w:rsidR="00B513DC" w:rsidRDefault="0057285D">
      <w:pPr>
        <w:pStyle w:val="afffff2"/>
        <w:ind w:firstLine="420"/>
        <w:rPr>
          <w:rFonts w:hAnsi="宋体"/>
        </w:rPr>
      </w:pPr>
      <w:r>
        <w:rPr>
          <w:rFonts w:hAnsi="宋体" w:hint="eastAsia"/>
        </w:rPr>
        <w:t xml:space="preserve">[4] GB 55036 </w:t>
      </w:r>
      <w:r>
        <w:rPr>
          <w:rFonts w:hAnsi="宋体"/>
        </w:rPr>
        <w:t xml:space="preserve"> </w:t>
      </w:r>
      <w:r>
        <w:rPr>
          <w:rFonts w:hAnsi="宋体" w:hint="eastAsia"/>
        </w:rPr>
        <w:t xml:space="preserve">消防设施通用规范 </w:t>
      </w:r>
    </w:p>
    <w:p w:rsidR="00B513DC" w:rsidRDefault="0057285D">
      <w:pPr>
        <w:pStyle w:val="afffff2"/>
        <w:ind w:firstLine="420"/>
        <w:rPr>
          <w:rFonts w:hAnsi="宋体"/>
        </w:rPr>
      </w:pPr>
      <w:r>
        <w:rPr>
          <w:rFonts w:hAnsi="宋体" w:hint="eastAsia"/>
        </w:rPr>
        <w:t xml:space="preserve">[5] JTS 310 </w:t>
      </w:r>
      <w:r>
        <w:rPr>
          <w:rFonts w:hAnsi="宋体"/>
        </w:rPr>
        <w:t xml:space="preserve"> </w:t>
      </w:r>
      <w:r>
        <w:rPr>
          <w:rFonts w:hAnsi="宋体" w:hint="eastAsia"/>
        </w:rPr>
        <w:t xml:space="preserve">港口设施维护技术规范 </w:t>
      </w:r>
    </w:p>
    <w:p w:rsidR="00B513DC" w:rsidRDefault="0057285D">
      <w:pPr>
        <w:pStyle w:val="afffff2"/>
        <w:ind w:firstLine="420"/>
        <w:rPr>
          <w:rFonts w:hAnsi="宋体"/>
        </w:rPr>
      </w:pPr>
      <w:r>
        <w:rPr>
          <w:rFonts w:hAnsi="宋体" w:hint="eastAsia"/>
        </w:rPr>
        <w:t xml:space="preserve">[6] DB31/T 1450 </w:t>
      </w:r>
      <w:r>
        <w:rPr>
          <w:rFonts w:hAnsi="宋体"/>
        </w:rPr>
        <w:t xml:space="preserve"> </w:t>
      </w:r>
      <w:r>
        <w:rPr>
          <w:rFonts w:hAnsi="宋体" w:hint="eastAsia"/>
        </w:rPr>
        <w:t xml:space="preserve">旅游码头服务基本要求 </w:t>
      </w:r>
    </w:p>
    <w:p w:rsidR="00B513DC" w:rsidRDefault="0057285D">
      <w:pPr>
        <w:pStyle w:val="afffff2"/>
        <w:ind w:firstLine="420"/>
        <w:rPr>
          <w:rFonts w:hAnsi="宋体"/>
        </w:rPr>
      </w:pPr>
      <w:r>
        <w:rPr>
          <w:rFonts w:hAnsi="宋体" w:hint="eastAsia"/>
        </w:rPr>
        <w:t xml:space="preserve">[7] DB21/T 3275 </w:t>
      </w:r>
      <w:r>
        <w:rPr>
          <w:rFonts w:hAnsi="宋体"/>
        </w:rPr>
        <w:t xml:space="preserve"> </w:t>
      </w:r>
      <w:r>
        <w:rPr>
          <w:rFonts w:hAnsi="宋体" w:hint="eastAsia"/>
        </w:rPr>
        <w:t xml:space="preserve">辽宁省企业安全风险分级管控和隐患排查治理通则 </w:t>
      </w:r>
    </w:p>
    <w:p w:rsidR="00B513DC" w:rsidRDefault="0057285D">
      <w:pPr>
        <w:pStyle w:val="afffff2"/>
        <w:ind w:firstLine="420"/>
        <w:rPr>
          <w:rFonts w:hAnsi="宋体"/>
        </w:rPr>
      </w:pPr>
      <w:r>
        <w:rPr>
          <w:rFonts w:hAnsi="宋体" w:hint="eastAsia"/>
        </w:rPr>
        <w:t xml:space="preserve">[8] DB21/T 3845 </w:t>
      </w:r>
      <w:r>
        <w:rPr>
          <w:rFonts w:hAnsi="宋体"/>
        </w:rPr>
        <w:t xml:space="preserve"> </w:t>
      </w:r>
      <w:r>
        <w:rPr>
          <w:rFonts w:hAnsi="宋体" w:hint="eastAsia"/>
        </w:rPr>
        <w:t>公安政务</w:t>
      </w:r>
      <w:proofErr w:type="gramStart"/>
      <w:r>
        <w:rPr>
          <w:rFonts w:hAnsi="宋体" w:hint="eastAsia"/>
        </w:rPr>
        <w:t>服务网办中心</w:t>
      </w:r>
      <w:proofErr w:type="gramEnd"/>
      <w:r>
        <w:rPr>
          <w:rFonts w:hAnsi="宋体" w:hint="eastAsia"/>
        </w:rPr>
        <w:t xml:space="preserve">建设与管理规范 </w:t>
      </w:r>
    </w:p>
    <w:p w:rsidR="00B513DC" w:rsidRDefault="0057285D">
      <w:pPr>
        <w:pStyle w:val="afffff2"/>
        <w:ind w:firstLine="420"/>
        <w:rPr>
          <w:rFonts w:hAnsi="宋体"/>
        </w:rPr>
      </w:pPr>
      <w:r>
        <w:rPr>
          <w:rFonts w:hAnsi="宋体" w:hint="eastAsia"/>
        </w:rPr>
        <w:t xml:space="preserve">[9] DB13/T 5435 </w:t>
      </w:r>
      <w:r>
        <w:rPr>
          <w:rFonts w:hAnsi="宋体"/>
        </w:rPr>
        <w:t xml:space="preserve"> </w:t>
      </w:r>
      <w:r>
        <w:rPr>
          <w:rFonts w:hAnsi="宋体" w:hint="eastAsia"/>
        </w:rPr>
        <w:t xml:space="preserve">内陆水域游船码头安全运营规范 </w:t>
      </w:r>
    </w:p>
    <w:p w:rsidR="00B513DC" w:rsidRDefault="0057285D">
      <w:pPr>
        <w:pStyle w:val="afffff2"/>
        <w:ind w:firstLine="420"/>
        <w:rPr>
          <w:rFonts w:hAnsi="宋体"/>
        </w:rPr>
      </w:pPr>
      <w:r>
        <w:rPr>
          <w:rFonts w:hAnsi="宋体" w:hint="eastAsia"/>
        </w:rPr>
        <w:t xml:space="preserve">[10] 中华人民共和国主席令 第43号[2020] </w:t>
      </w:r>
      <w:r>
        <w:rPr>
          <w:rFonts w:hAnsi="宋体"/>
        </w:rPr>
        <w:t xml:space="preserve"> </w:t>
      </w:r>
      <w:r>
        <w:rPr>
          <w:rFonts w:hAnsi="宋体" w:hint="eastAsia"/>
        </w:rPr>
        <w:t xml:space="preserve">中华人民共和国固体废物污染环境防治法 </w:t>
      </w:r>
    </w:p>
    <w:p w:rsidR="00B513DC" w:rsidRDefault="0057285D">
      <w:pPr>
        <w:pStyle w:val="afffff2"/>
        <w:ind w:firstLine="420"/>
        <w:rPr>
          <w:rFonts w:hAnsi="宋体"/>
        </w:rPr>
      </w:pPr>
      <w:r>
        <w:rPr>
          <w:rFonts w:hAnsi="宋体" w:hint="eastAsia"/>
        </w:rPr>
        <w:t xml:space="preserve">[11] 中华人民共和国主席令 第88号[2021] </w:t>
      </w:r>
      <w:r>
        <w:rPr>
          <w:rFonts w:hAnsi="宋体"/>
        </w:rPr>
        <w:t xml:space="preserve"> </w:t>
      </w:r>
      <w:r>
        <w:rPr>
          <w:rFonts w:hAnsi="宋体" w:hint="eastAsia"/>
        </w:rPr>
        <w:t xml:space="preserve">中华人民共和国安全生产法 </w:t>
      </w:r>
    </w:p>
    <w:p w:rsidR="00B513DC" w:rsidRDefault="0057285D">
      <w:pPr>
        <w:pStyle w:val="afffff2"/>
        <w:ind w:firstLine="420"/>
        <w:rPr>
          <w:rFonts w:hAnsi="宋体"/>
        </w:rPr>
      </w:pPr>
      <w:r>
        <w:rPr>
          <w:rFonts w:hAnsi="宋体" w:hint="eastAsia"/>
        </w:rPr>
        <w:t xml:space="preserve">[12] 中华人民共和国国务院令 第344号[2002] </w:t>
      </w:r>
      <w:r>
        <w:rPr>
          <w:rFonts w:hAnsi="宋体"/>
        </w:rPr>
        <w:t xml:space="preserve"> </w:t>
      </w:r>
      <w:r>
        <w:rPr>
          <w:rFonts w:hAnsi="宋体" w:hint="eastAsia"/>
        </w:rPr>
        <w:t xml:space="preserve">危险化学品安全管理条例 </w:t>
      </w:r>
    </w:p>
    <w:p w:rsidR="00B513DC" w:rsidRDefault="0057285D">
      <w:pPr>
        <w:pStyle w:val="afffff2"/>
        <w:ind w:firstLine="420"/>
        <w:rPr>
          <w:rFonts w:hAnsi="宋体"/>
        </w:rPr>
      </w:pPr>
      <w:r>
        <w:rPr>
          <w:rFonts w:hAnsi="宋体" w:hint="eastAsia"/>
        </w:rPr>
        <w:t xml:space="preserve">[13] 交通运输部令 第2号[2013] </w:t>
      </w:r>
      <w:r>
        <w:rPr>
          <w:rFonts w:hAnsi="宋体"/>
        </w:rPr>
        <w:t xml:space="preserve"> </w:t>
      </w:r>
      <w:r>
        <w:rPr>
          <w:rFonts w:hAnsi="宋体" w:hint="eastAsia"/>
        </w:rPr>
        <w:t xml:space="preserve">道路危险货物运输管理规定 </w:t>
      </w:r>
    </w:p>
    <w:p w:rsidR="00B513DC" w:rsidRDefault="0057285D">
      <w:pPr>
        <w:pStyle w:val="afffff2"/>
        <w:ind w:firstLine="420"/>
        <w:rPr>
          <w:rFonts w:hAnsi="宋体"/>
        </w:rPr>
      </w:pPr>
      <w:r>
        <w:rPr>
          <w:rFonts w:hAnsi="宋体" w:hint="eastAsia"/>
        </w:rPr>
        <w:t xml:space="preserve">[14] 交通运输部令 第2号[2018] </w:t>
      </w:r>
      <w:r>
        <w:rPr>
          <w:rFonts w:hAnsi="宋体"/>
        </w:rPr>
        <w:t xml:space="preserve"> </w:t>
      </w:r>
      <w:r>
        <w:rPr>
          <w:rFonts w:hAnsi="宋体" w:hint="eastAsia"/>
        </w:rPr>
        <w:t xml:space="preserve">港口工程建设管理规定 </w:t>
      </w:r>
    </w:p>
    <w:p w:rsidR="00B513DC" w:rsidRDefault="0057285D">
      <w:pPr>
        <w:pStyle w:val="afffff2"/>
        <w:ind w:firstLine="420"/>
        <w:rPr>
          <w:rFonts w:hAnsi="宋体"/>
        </w:rPr>
      </w:pPr>
      <w:r>
        <w:rPr>
          <w:rFonts w:hAnsi="宋体" w:hint="eastAsia"/>
        </w:rPr>
        <w:t xml:space="preserve">[15] 应急管理部令 第2号[2019] </w:t>
      </w:r>
      <w:r>
        <w:rPr>
          <w:rFonts w:hAnsi="宋体"/>
        </w:rPr>
        <w:t xml:space="preserve"> </w:t>
      </w:r>
      <w:r>
        <w:rPr>
          <w:rFonts w:hAnsi="宋体" w:hint="eastAsia"/>
        </w:rPr>
        <w:t xml:space="preserve">生产安全事故应急预案管理办法 </w:t>
      </w:r>
    </w:p>
    <w:p w:rsidR="00B513DC" w:rsidRDefault="0057285D">
      <w:pPr>
        <w:pStyle w:val="afffff2"/>
        <w:ind w:firstLine="420"/>
        <w:rPr>
          <w:rFonts w:hAnsi="宋体"/>
        </w:rPr>
      </w:pPr>
      <w:r>
        <w:rPr>
          <w:rFonts w:hAnsi="宋体" w:hint="eastAsia"/>
        </w:rPr>
        <w:t xml:space="preserve">[16] 辽宁省人民政府令 第264号[2011] </w:t>
      </w:r>
      <w:r>
        <w:rPr>
          <w:rFonts w:hAnsi="宋体"/>
        </w:rPr>
        <w:t xml:space="preserve"> </w:t>
      </w:r>
      <w:r>
        <w:rPr>
          <w:rFonts w:hAnsi="宋体" w:hint="eastAsia"/>
        </w:rPr>
        <w:t xml:space="preserve">辽宁省企业安全生产主体责任规定 </w:t>
      </w:r>
    </w:p>
    <w:p w:rsidR="00B513DC" w:rsidRDefault="0057285D">
      <w:pPr>
        <w:pStyle w:val="afffff2"/>
        <w:ind w:firstLineChars="0" w:firstLine="0"/>
        <w:jc w:val="center"/>
        <w:rPr>
          <w:rFonts w:hAnsi="宋体"/>
        </w:rPr>
      </w:pPr>
      <w:r>
        <w:rPr>
          <w:rFonts w:hAnsi="宋体" w:hint="eastAsia"/>
          <w:noProof/>
        </w:rPr>
        <w:drawing>
          <wp:inline distT="0" distB="0" distL="0" distR="0">
            <wp:extent cx="1485900" cy="317500"/>
            <wp:effectExtent l="0" t="0" r="0" b="6350"/>
            <wp:docPr id="901214319" name="图片 3"/>
            <wp:cNvGraphicFramePr/>
            <a:graphic xmlns:a="http://schemas.openxmlformats.org/drawingml/2006/main">
              <a:graphicData uri="http://schemas.openxmlformats.org/drawingml/2006/picture">
                <pic:pic xmlns:pic="http://schemas.openxmlformats.org/drawingml/2006/picture">
                  <pic:nvPicPr>
                    <pic:cNvPr id="901214319" name="图片 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B513DC">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5C0" w:rsidRDefault="00D855C0">
      <w:pPr>
        <w:spacing w:line="240" w:lineRule="auto"/>
      </w:pPr>
      <w:r>
        <w:separator/>
      </w:r>
    </w:p>
  </w:endnote>
  <w:endnote w:type="continuationSeparator" w:id="0">
    <w:p w:rsidR="00D855C0" w:rsidRDefault="00D855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81D" w:rsidRDefault="00B5081D">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81D" w:rsidRDefault="00B5081D">
    <w:pPr>
      <w:pStyle w:val="afffe"/>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81D" w:rsidRDefault="00B5081D">
    <w:pPr>
      <w:pStyle w:val="afffff"/>
    </w:pPr>
    <w:r>
      <w:fldChar w:fldCharType="begin"/>
    </w:r>
    <w:r>
      <w:instrText>PAGE   \* MERGEFORMAT</w:instrText>
    </w:r>
    <w:r>
      <w:fldChar w:fldCharType="separate"/>
    </w:r>
    <w:r w:rsidR="009121C8" w:rsidRPr="009121C8">
      <w:rPr>
        <w:noProof/>
        <w:lang w:val="zh-CN"/>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5C0" w:rsidRDefault="00D855C0">
      <w:pPr>
        <w:spacing w:line="240" w:lineRule="auto"/>
      </w:pPr>
      <w:r>
        <w:separator/>
      </w:r>
    </w:p>
  </w:footnote>
  <w:footnote w:type="continuationSeparator" w:id="0">
    <w:p w:rsidR="00D855C0" w:rsidRDefault="00D855C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81D" w:rsidRDefault="00B5081D">
    <w:pPr>
      <w:pStyle w:val="affff"/>
      <w:wordWrap w:val="0"/>
      <w:jc w:val="right"/>
      <w:rPr>
        <w:rFonts w:ascii="黑体" w:eastAsia="黑体" w:hAnsi="黑体"/>
      </w:rPr>
    </w:pPr>
    <w:r>
      <w:rPr>
        <w:rFonts w:ascii="黑体" w:eastAsia="黑体" w:hAnsi="黑体" w:hint="eastAsia"/>
      </w:rPr>
      <w:t>DB2102</w:t>
    </w:r>
    <w:r>
      <w:rPr>
        <w:rFonts w:ascii="黑体" w:eastAsia="黑体" w:hAnsi="黑体"/>
      </w:rPr>
      <w:t>/</w:t>
    </w:r>
    <w:r>
      <w:rPr>
        <w:rFonts w:ascii="黑体" w:eastAsia="黑体" w:hAnsi="黑体" w:hint="eastAsia"/>
      </w:rPr>
      <w:t xml:space="preserve">T </w:t>
    </w:r>
    <w:r>
      <w:rPr>
        <w:rFonts w:ascii="黑体" w:eastAsia="黑体" w:hAnsi="黑体"/>
      </w:rPr>
      <w:t>XXXXX-</w:t>
    </w:r>
    <w:r>
      <w:rPr>
        <w:rFonts w:ascii="黑体" w:eastAsia="黑体" w:hAnsi="黑体" w:hint="eastAsia"/>
      </w:rPr>
      <w:t>2025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81D" w:rsidRDefault="00B5081D">
    <w:pPr>
      <w:pStyle w:val="affff"/>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81D" w:rsidRDefault="00B5081D">
    <w:pPr>
      <w:pStyle w:val="affff"/>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2101/T XXXX—2025</w:t>
    </w:r>
    <w:r>
      <w:rPr>
        <w:lang w:val="fr-F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81D" w:rsidRDefault="00B5081D">
    <w:pPr>
      <w:pStyle w:val="afffff7"/>
    </w:pPr>
    <w:r>
      <w:fldChar w:fldCharType="begin"/>
    </w:r>
    <w:r>
      <w:instrText xml:space="preserve"> STYLEREF  标准文件_文件编号  \* MERGEFORMAT </w:instrText>
    </w:r>
    <w:r>
      <w:fldChar w:fldCharType="separate"/>
    </w:r>
    <w:r w:rsidR="009121C8">
      <w:rPr>
        <w:noProof/>
      </w:rPr>
      <w:t>DB 2101/T XXXX</w:t>
    </w:r>
    <w:r w:rsidR="009121C8">
      <w:rPr>
        <w:noProof/>
      </w:rPr>
      <w:t>—</w:t>
    </w:r>
    <w:r w:rsidR="009121C8">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6096" w:firstLine="0"/>
      </w:pPr>
      <w:rPr>
        <w:rFonts w:ascii="黑体" w:eastAsia="黑体" w:hint="eastAsia"/>
        <w:b w:val="0"/>
        <w:i w:val="0"/>
        <w:sz w:val="21"/>
      </w:rPr>
    </w:lvl>
    <w:lvl w:ilvl="4">
      <w:start w:val="1"/>
      <w:numFmt w:val="decimal"/>
      <w:pStyle w:val="afff"/>
      <w:suff w:val="nothing"/>
      <w:lvlText w:val="%1%2.%3.%4.%5　"/>
      <w:lvlJc w:val="left"/>
      <w:pPr>
        <w:ind w:left="1134" w:firstLine="0"/>
      </w:pPr>
      <w:rPr>
        <w:rFonts w:ascii="黑体" w:eastAsia="黑体" w:hint="eastAsia"/>
        <w:b w:val="0"/>
        <w:i w:val="0"/>
        <w:sz w:val="21"/>
      </w:rPr>
    </w:lvl>
    <w:lvl w:ilvl="5">
      <w:start w:val="1"/>
      <w:numFmt w:val="decimal"/>
      <w:pStyle w:val="afff0"/>
      <w:suff w:val="nothing"/>
      <w:lvlText w:val="%1%2.%3.%4.%5.%6　"/>
      <w:lvlJc w:val="left"/>
      <w:pPr>
        <w:ind w:left="2126"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hideSpellingErrors/>
  <w:hideGrammaticalErrors/>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ViYTNjMDQ2ZjVjNGRmNDA5ZDliNTZlNTZhNmUwNzEifQ=="/>
  </w:docVars>
  <w:rsids>
    <w:rsidRoot w:val="00AE2930"/>
    <w:rsid w:val="0000040A"/>
    <w:rsid w:val="00000A94"/>
    <w:rsid w:val="00001972"/>
    <w:rsid w:val="00001D9A"/>
    <w:rsid w:val="00006B55"/>
    <w:rsid w:val="00007B3A"/>
    <w:rsid w:val="000107E0"/>
    <w:rsid w:val="00011E69"/>
    <w:rsid w:val="00011FDE"/>
    <w:rsid w:val="00012FFD"/>
    <w:rsid w:val="00014162"/>
    <w:rsid w:val="00014340"/>
    <w:rsid w:val="00016A9C"/>
    <w:rsid w:val="00022184"/>
    <w:rsid w:val="00022762"/>
    <w:rsid w:val="000238E0"/>
    <w:rsid w:val="000249DB"/>
    <w:rsid w:val="00024A2B"/>
    <w:rsid w:val="0002595E"/>
    <w:rsid w:val="000303C3"/>
    <w:rsid w:val="00031180"/>
    <w:rsid w:val="00032CED"/>
    <w:rsid w:val="000331D3"/>
    <w:rsid w:val="000346A5"/>
    <w:rsid w:val="000359C3"/>
    <w:rsid w:val="00035A7D"/>
    <w:rsid w:val="000365ED"/>
    <w:rsid w:val="0003771F"/>
    <w:rsid w:val="0004249A"/>
    <w:rsid w:val="00043282"/>
    <w:rsid w:val="0004358F"/>
    <w:rsid w:val="00044286"/>
    <w:rsid w:val="0004617B"/>
    <w:rsid w:val="00047F28"/>
    <w:rsid w:val="000503AA"/>
    <w:rsid w:val="000506A1"/>
    <w:rsid w:val="000515C3"/>
    <w:rsid w:val="000515DD"/>
    <w:rsid w:val="0005265A"/>
    <w:rsid w:val="000539DD"/>
    <w:rsid w:val="00053BD3"/>
    <w:rsid w:val="00054199"/>
    <w:rsid w:val="000556ED"/>
    <w:rsid w:val="00055FE2"/>
    <w:rsid w:val="0005616F"/>
    <w:rsid w:val="00060C2E"/>
    <w:rsid w:val="00061033"/>
    <w:rsid w:val="000619E9"/>
    <w:rsid w:val="000622D4"/>
    <w:rsid w:val="0006357D"/>
    <w:rsid w:val="00067F1E"/>
    <w:rsid w:val="00071CC0"/>
    <w:rsid w:val="00073C8C"/>
    <w:rsid w:val="00075388"/>
    <w:rsid w:val="00077B64"/>
    <w:rsid w:val="00080A1C"/>
    <w:rsid w:val="00082317"/>
    <w:rsid w:val="00083D2C"/>
    <w:rsid w:val="00086AA1"/>
    <w:rsid w:val="00087A77"/>
    <w:rsid w:val="00090CA6"/>
    <w:rsid w:val="00091435"/>
    <w:rsid w:val="00092B8A"/>
    <w:rsid w:val="00092FB0"/>
    <w:rsid w:val="000934C5"/>
    <w:rsid w:val="00093D25"/>
    <w:rsid w:val="00093DAB"/>
    <w:rsid w:val="00094B27"/>
    <w:rsid w:val="00094D73"/>
    <w:rsid w:val="00096D63"/>
    <w:rsid w:val="000970D0"/>
    <w:rsid w:val="000A0B60"/>
    <w:rsid w:val="000A0EB8"/>
    <w:rsid w:val="000A19FC"/>
    <w:rsid w:val="000A296B"/>
    <w:rsid w:val="000A7311"/>
    <w:rsid w:val="000B060F"/>
    <w:rsid w:val="000B1592"/>
    <w:rsid w:val="000B1A4E"/>
    <w:rsid w:val="000B1FF2"/>
    <w:rsid w:val="000B3CDA"/>
    <w:rsid w:val="000B5489"/>
    <w:rsid w:val="000B6A0B"/>
    <w:rsid w:val="000C0F6C"/>
    <w:rsid w:val="000C11DB"/>
    <w:rsid w:val="000C1492"/>
    <w:rsid w:val="000C2B1C"/>
    <w:rsid w:val="000C2FBD"/>
    <w:rsid w:val="000C4B41"/>
    <w:rsid w:val="000C57D6"/>
    <w:rsid w:val="000C6362"/>
    <w:rsid w:val="000C7666"/>
    <w:rsid w:val="000D0A9C"/>
    <w:rsid w:val="000D1795"/>
    <w:rsid w:val="000D329A"/>
    <w:rsid w:val="000D4B9C"/>
    <w:rsid w:val="000D4EB6"/>
    <w:rsid w:val="000D753B"/>
    <w:rsid w:val="000E17C5"/>
    <w:rsid w:val="000E4C9E"/>
    <w:rsid w:val="000E6FD7"/>
    <w:rsid w:val="000F06E1"/>
    <w:rsid w:val="000F0E3C"/>
    <w:rsid w:val="000F19D5"/>
    <w:rsid w:val="000F4AEA"/>
    <w:rsid w:val="000F633F"/>
    <w:rsid w:val="000F67E9"/>
    <w:rsid w:val="001002FE"/>
    <w:rsid w:val="00104926"/>
    <w:rsid w:val="00110A4B"/>
    <w:rsid w:val="00113B1E"/>
    <w:rsid w:val="00115E01"/>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3E6"/>
    <w:rsid w:val="001529E5"/>
    <w:rsid w:val="00153C7E"/>
    <w:rsid w:val="00156B25"/>
    <w:rsid w:val="00156E1A"/>
    <w:rsid w:val="00157894"/>
    <w:rsid w:val="00157B55"/>
    <w:rsid w:val="001642FA"/>
    <w:rsid w:val="001649EB"/>
    <w:rsid w:val="00164BAF"/>
    <w:rsid w:val="00164FA8"/>
    <w:rsid w:val="00165065"/>
    <w:rsid w:val="00165434"/>
    <w:rsid w:val="00165743"/>
    <w:rsid w:val="0016580B"/>
    <w:rsid w:val="00165F49"/>
    <w:rsid w:val="00166B88"/>
    <w:rsid w:val="0016770A"/>
    <w:rsid w:val="00170804"/>
    <w:rsid w:val="001708E9"/>
    <w:rsid w:val="0017340B"/>
    <w:rsid w:val="00173FB1"/>
    <w:rsid w:val="00176DFD"/>
    <w:rsid w:val="00184A8B"/>
    <w:rsid w:val="001852C9"/>
    <w:rsid w:val="00190087"/>
    <w:rsid w:val="001913C4"/>
    <w:rsid w:val="0019348F"/>
    <w:rsid w:val="00193A07"/>
    <w:rsid w:val="00194C0C"/>
    <w:rsid w:val="00194C95"/>
    <w:rsid w:val="00195C34"/>
    <w:rsid w:val="00196EF5"/>
    <w:rsid w:val="00197535"/>
    <w:rsid w:val="001A1A53"/>
    <w:rsid w:val="001A234A"/>
    <w:rsid w:val="001A4CF3"/>
    <w:rsid w:val="001A78DD"/>
    <w:rsid w:val="001B06E8"/>
    <w:rsid w:val="001B2796"/>
    <w:rsid w:val="001B47B5"/>
    <w:rsid w:val="001B71D0"/>
    <w:rsid w:val="001B71EE"/>
    <w:rsid w:val="001C04A8"/>
    <w:rsid w:val="001C2C03"/>
    <w:rsid w:val="001C42F7"/>
    <w:rsid w:val="001C49E5"/>
    <w:rsid w:val="001C680C"/>
    <w:rsid w:val="001C76E6"/>
    <w:rsid w:val="001C7FEA"/>
    <w:rsid w:val="001D0499"/>
    <w:rsid w:val="001D0BBE"/>
    <w:rsid w:val="001D0ED4"/>
    <w:rsid w:val="001D212F"/>
    <w:rsid w:val="001D29D7"/>
    <w:rsid w:val="001D2DE7"/>
    <w:rsid w:val="001D411C"/>
    <w:rsid w:val="001E03A7"/>
    <w:rsid w:val="001E1B6A"/>
    <w:rsid w:val="001E2484"/>
    <w:rsid w:val="001E3CC4"/>
    <w:rsid w:val="001E4882"/>
    <w:rsid w:val="001E73AB"/>
    <w:rsid w:val="001F092D"/>
    <w:rsid w:val="001F143A"/>
    <w:rsid w:val="001F1605"/>
    <w:rsid w:val="001F2508"/>
    <w:rsid w:val="001F3425"/>
    <w:rsid w:val="001F4816"/>
    <w:rsid w:val="001F4EE9"/>
    <w:rsid w:val="001F69B4"/>
    <w:rsid w:val="001F77C7"/>
    <w:rsid w:val="00200183"/>
    <w:rsid w:val="00200333"/>
    <w:rsid w:val="0020107D"/>
    <w:rsid w:val="00202AA4"/>
    <w:rsid w:val="00202EB1"/>
    <w:rsid w:val="002031F7"/>
    <w:rsid w:val="002040E6"/>
    <w:rsid w:val="0020527B"/>
    <w:rsid w:val="00205F2C"/>
    <w:rsid w:val="00206C16"/>
    <w:rsid w:val="00210B15"/>
    <w:rsid w:val="002142EA"/>
    <w:rsid w:val="0021719D"/>
    <w:rsid w:val="002204BB"/>
    <w:rsid w:val="002218E0"/>
    <w:rsid w:val="00221B79"/>
    <w:rsid w:val="00221C6B"/>
    <w:rsid w:val="00223100"/>
    <w:rsid w:val="0022415B"/>
    <w:rsid w:val="002253A1"/>
    <w:rsid w:val="00225CF8"/>
    <w:rsid w:val="0022794E"/>
    <w:rsid w:val="002318E3"/>
    <w:rsid w:val="002322C0"/>
    <w:rsid w:val="00233D64"/>
    <w:rsid w:val="0023482A"/>
    <w:rsid w:val="002359CB"/>
    <w:rsid w:val="00243540"/>
    <w:rsid w:val="0024497B"/>
    <w:rsid w:val="0024515B"/>
    <w:rsid w:val="00245CBC"/>
    <w:rsid w:val="00246021"/>
    <w:rsid w:val="0024666E"/>
    <w:rsid w:val="00247F52"/>
    <w:rsid w:val="002507D7"/>
    <w:rsid w:val="00250B25"/>
    <w:rsid w:val="00250BBE"/>
    <w:rsid w:val="002515C2"/>
    <w:rsid w:val="0025194F"/>
    <w:rsid w:val="0025312A"/>
    <w:rsid w:val="00253ABD"/>
    <w:rsid w:val="0026148A"/>
    <w:rsid w:val="00261A61"/>
    <w:rsid w:val="00262696"/>
    <w:rsid w:val="00263D25"/>
    <w:rsid w:val="002643C3"/>
    <w:rsid w:val="00264A0C"/>
    <w:rsid w:val="00266EEB"/>
    <w:rsid w:val="00267EF4"/>
    <w:rsid w:val="0027015A"/>
    <w:rsid w:val="00270CB8"/>
    <w:rsid w:val="00272B08"/>
    <w:rsid w:val="002771AC"/>
    <w:rsid w:val="00280AF5"/>
    <w:rsid w:val="00281BB8"/>
    <w:rsid w:val="00281E9E"/>
    <w:rsid w:val="00282405"/>
    <w:rsid w:val="00285170"/>
    <w:rsid w:val="00285361"/>
    <w:rsid w:val="00286D70"/>
    <w:rsid w:val="00292D60"/>
    <w:rsid w:val="00293B30"/>
    <w:rsid w:val="00294D34"/>
    <w:rsid w:val="00294E3B"/>
    <w:rsid w:val="00296193"/>
    <w:rsid w:val="00296C66"/>
    <w:rsid w:val="00296EBE"/>
    <w:rsid w:val="002974E3"/>
    <w:rsid w:val="002A04F9"/>
    <w:rsid w:val="002A084B"/>
    <w:rsid w:val="002A1260"/>
    <w:rsid w:val="002A12EB"/>
    <w:rsid w:val="002A1589"/>
    <w:rsid w:val="002A1608"/>
    <w:rsid w:val="002A25DC"/>
    <w:rsid w:val="002A3AAB"/>
    <w:rsid w:val="002A4CEA"/>
    <w:rsid w:val="002A5977"/>
    <w:rsid w:val="002A5A13"/>
    <w:rsid w:val="002A757F"/>
    <w:rsid w:val="002A7AE3"/>
    <w:rsid w:val="002A7F44"/>
    <w:rsid w:val="002B0C40"/>
    <w:rsid w:val="002B1966"/>
    <w:rsid w:val="002B4147"/>
    <w:rsid w:val="002B4508"/>
    <w:rsid w:val="002B53FC"/>
    <w:rsid w:val="002B5779"/>
    <w:rsid w:val="002B5E17"/>
    <w:rsid w:val="002B7332"/>
    <w:rsid w:val="002B7F51"/>
    <w:rsid w:val="002C005F"/>
    <w:rsid w:val="002C09E7"/>
    <w:rsid w:val="002C1383"/>
    <w:rsid w:val="002C1E06"/>
    <w:rsid w:val="002C1E1C"/>
    <w:rsid w:val="002C3F07"/>
    <w:rsid w:val="002C5278"/>
    <w:rsid w:val="002C7EBB"/>
    <w:rsid w:val="002D06C1"/>
    <w:rsid w:val="002D404E"/>
    <w:rsid w:val="002D42B5"/>
    <w:rsid w:val="002D4F1A"/>
    <w:rsid w:val="002D6EC6"/>
    <w:rsid w:val="002D79AC"/>
    <w:rsid w:val="002E039D"/>
    <w:rsid w:val="002E257E"/>
    <w:rsid w:val="002E3350"/>
    <w:rsid w:val="002E4D5A"/>
    <w:rsid w:val="002E6326"/>
    <w:rsid w:val="002E731C"/>
    <w:rsid w:val="002F30E0"/>
    <w:rsid w:val="002F35E4"/>
    <w:rsid w:val="002F3730"/>
    <w:rsid w:val="002F37DE"/>
    <w:rsid w:val="002F38E1"/>
    <w:rsid w:val="002F7AF6"/>
    <w:rsid w:val="00300E63"/>
    <w:rsid w:val="00302D0C"/>
    <w:rsid w:val="00302F5F"/>
    <w:rsid w:val="0030441D"/>
    <w:rsid w:val="00306063"/>
    <w:rsid w:val="0031317A"/>
    <w:rsid w:val="00313B85"/>
    <w:rsid w:val="00313EF4"/>
    <w:rsid w:val="00316DD5"/>
    <w:rsid w:val="00317988"/>
    <w:rsid w:val="00317AC8"/>
    <w:rsid w:val="003221B4"/>
    <w:rsid w:val="0032258D"/>
    <w:rsid w:val="00322E62"/>
    <w:rsid w:val="00324D13"/>
    <w:rsid w:val="00324D2A"/>
    <w:rsid w:val="00324EDD"/>
    <w:rsid w:val="0033164E"/>
    <w:rsid w:val="00332837"/>
    <w:rsid w:val="003331E4"/>
    <w:rsid w:val="003338E1"/>
    <w:rsid w:val="00336C64"/>
    <w:rsid w:val="00337162"/>
    <w:rsid w:val="0034194F"/>
    <w:rsid w:val="00344605"/>
    <w:rsid w:val="003448F0"/>
    <w:rsid w:val="00346236"/>
    <w:rsid w:val="003474AA"/>
    <w:rsid w:val="00350D1D"/>
    <w:rsid w:val="00352C83"/>
    <w:rsid w:val="003615D2"/>
    <w:rsid w:val="00361F50"/>
    <w:rsid w:val="003630C6"/>
    <w:rsid w:val="0036429C"/>
    <w:rsid w:val="00364A53"/>
    <w:rsid w:val="003654CB"/>
    <w:rsid w:val="00365AA9"/>
    <w:rsid w:val="00365F86"/>
    <w:rsid w:val="00365F87"/>
    <w:rsid w:val="00366E89"/>
    <w:rsid w:val="003705F4"/>
    <w:rsid w:val="00370D58"/>
    <w:rsid w:val="00371316"/>
    <w:rsid w:val="003748A7"/>
    <w:rsid w:val="00376713"/>
    <w:rsid w:val="00381815"/>
    <w:rsid w:val="003819AF"/>
    <w:rsid w:val="003820E9"/>
    <w:rsid w:val="00382DE7"/>
    <w:rsid w:val="00383440"/>
    <w:rsid w:val="00384FFC"/>
    <w:rsid w:val="0038571D"/>
    <w:rsid w:val="003872FC"/>
    <w:rsid w:val="00387ADC"/>
    <w:rsid w:val="00390020"/>
    <w:rsid w:val="003903D6"/>
    <w:rsid w:val="00390EE6"/>
    <w:rsid w:val="0039118F"/>
    <w:rsid w:val="00392AD7"/>
    <w:rsid w:val="00393225"/>
    <w:rsid w:val="003938D9"/>
    <w:rsid w:val="00394376"/>
    <w:rsid w:val="003943FF"/>
    <w:rsid w:val="00395700"/>
    <w:rsid w:val="003974EB"/>
    <w:rsid w:val="00397CC5"/>
    <w:rsid w:val="003A13BC"/>
    <w:rsid w:val="003A1582"/>
    <w:rsid w:val="003A2149"/>
    <w:rsid w:val="003A3016"/>
    <w:rsid w:val="003A4077"/>
    <w:rsid w:val="003B09AD"/>
    <w:rsid w:val="003B1F18"/>
    <w:rsid w:val="003B34F0"/>
    <w:rsid w:val="003B3DAF"/>
    <w:rsid w:val="003B4EB0"/>
    <w:rsid w:val="003B5BF0"/>
    <w:rsid w:val="003B60BF"/>
    <w:rsid w:val="003B6BE3"/>
    <w:rsid w:val="003C010C"/>
    <w:rsid w:val="003C0A6C"/>
    <w:rsid w:val="003C14F8"/>
    <w:rsid w:val="003C2EA7"/>
    <w:rsid w:val="003C5A43"/>
    <w:rsid w:val="003C67D3"/>
    <w:rsid w:val="003C6CD1"/>
    <w:rsid w:val="003D0519"/>
    <w:rsid w:val="003D0FF6"/>
    <w:rsid w:val="003D262C"/>
    <w:rsid w:val="003D6D61"/>
    <w:rsid w:val="003D6F22"/>
    <w:rsid w:val="003D717B"/>
    <w:rsid w:val="003D79C6"/>
    <w:rsid w:val="003D7E7C"/>
    <w:rsid w:val="003E091D"/>
    <w:rsid w:val="003E1C53"/>
    <w:rsid w:val="003E2A69"/>
    <w:rsid w:val="003E2D49"/>
    <w:rsid w:val="003E2FD4"/>
    <w:rsid w:val="003E49F6"/>
    <w:rsid w:val="003E4C42"/>
    <w:rsid w:val="003E5938"/>
    <w:rsid w:val="003E5BA0"/>
    <w:rsid w:val="003E660F"/>
    <w:rsid w:val="003F00D0"/>
    <w:rsid w:val="003F0841"/>
    <w:rsid w:val="003F23D3"/>
    <w:rsid w:val="003F3F08"/>
    <w:rsid w:val="003F49F1"/>
    <w:rsid w:val="003F6272"/>
    <w:rsid w:val="003F6796"/>
    <w:rsid w:val="00400E72"/>
    <w:rsid w:val="00401400"/>
    <w:rsid w:val="00404869"/>
    <w:rsid w:val="00405884"/>
    <w:rsid w:val="00407731"/>
    <w:rsid w:val="00407D39"/>
    <w:rsid w:val="0041477A"/>
    <w:rsid w:val="00414A7E"/>
    <w:rsid w:val="004167A3"/>
    <w:rsid w:val="00417F59"/>
    <w:rsid w:val="00422284"/>
    <w:rsid w:val="00425B2D"/>
    <w:rsid w:val="004264FC"/>
    <w:rsid w:val="00432DAA"/>
    <w:rsid w:val="00434305"/>
    <w:rsid w:val="00435DF7"/>
    <w:rsid w:val="00437643"/>
    <w:rsid w:val="0044083F"/>
    <w:rsid w:val="00440B6B"/>
    <w:rsid w:val="00441AE7"/>
    <w:rsid w:val="00445574"/>
    <w:rsid w:val="004467FB"/>
    <w:rsid w:val="00451C29"/>
    <w:rsid w:val="00452D6B"/>
    <w:rsid w:val="00454484"/>
    <w:rsid w:val="0045517B"/>
    <w:rsid w:val="00463B77"/>
    <w:rsid w:val="00463C7B"/>
    <w:rsid w:val="004644A6"/>
    <w:rsid w:val="004659BD"/>
    <w:rsid w:val="00470775"/>
    <w:rsid w:val="004746B1"/>
    <w:rsid w:val="0047583F"/>
    <w:rsid w:val="00475DE8"/>
    <w:rsid w:val="0048078A"/>
    <w:rsid w:val="00481C44"/>
    <w:rsid w:val="00484936"/>
    <w:rsid w:val="004857BD"/>
    <w:rsid w:val="004858E2"/>
    <w:rsid w:val="00485C89"/>
    <w:rsid w:val="00486BE3"/>
    <w:rsid w:val="004905E4"/>
    <w:rsid w:val="00490A89"/>
    <w:rsid w:val="00490AB4"/>
    <w:rsid w:val="00491AD9"/>
    <w:rsid w:val="00492F02"/>
    <w:rsid w:val="004939AE"/>
    <w:rsid w:val="004976B2"/>
    <w:rsid w:val="004A12DF"/>
    <w:rsid w:val="004A17E6"/>
    <w:rsid w:val="004A1BA8"/>
    <w:rsid w:val="004A3934"/>
    <w:rsid w:val="004A4B57"/>
    <w:rsid w:val="004A63FA"/>
    <w:rsid w:val="004B0272"/>
    <w:rsid w:val="004B2161"/>
    <w:rsid w:val="004B2518"/>
    <w:rsid w:val="004B2701"/>
    <w:rsid w:val="004B2B31"/>
    <w:rsid w:val="004B2E1B"/>
    <w:rsid w:val="004B3AA8"/>
    <w:rsid w:val="004B3E93"/>
    <w:rsid w:val="004C1FBC"/>
    <w:rsid w:val="004C3F1D"/>
    <w:rsid w:val="004C458D"/>
    <w:rsid w:val="004C5458"/>
    <w:rsid w:val="004C7556"/>
    <w:rsid w:val="004C7E8B"/>
    <w:rsid w:val="004C7E9D"/>
    <w:rsid w:val="004C7EFF"/>
    <w:rsid w:val="004C7F67"/>
    <w:rsid w:val="004D076D"/>
    <w:rsid w:val="004D0EF1"/>
    <w:rsid w:val="004D2253"/>
    <w:rsid w:val="004D4406"/>
    <w:rsid w:val="004D7C42"/>
    <w:rsid w:val="004E0465"/>
    <w:rsid w:val="004E127B"/>
    <w:rsid w:val="004E1C0A"/>
    <w:rsid w:val="004E2B06"/>
    <w:rsid w:val="004E30C5"/>
    <w:rsid w:val="004E4AA5"/>
    <w:rsid w:val="004E4AEE"/>
    <w:rsid w:val="004E53B3"/>
    <w:rsid w:val="004E59E3"/>
    <w:rsid w:val="004E67C0"/>
    <w:rsid w:val="004F391A"/>
    <w:rsid w:val="004F3CFB"/>
    <w:rsid w:val="004F4D5F"/>
    <w:rsid w:val="004F6456"/>
    <w:rsid w:val="004F696E"/>
    <w:rsid w:val="004F6C71"/>
    <w:rsid w:val="00501139"/>
    <w:rsid w:val="0050363E"/>
    <w:rsid w:val="005038D9"/>
    <w:rsid w:val="005039BC"/>
    <w:rsid w:val="005043BB"/>
    <w:rsid w:val="00504A3D"/>
    <w:rsid w:val="00505767"/>
    <w:rsid w:val="005073F0"/>
    <w:rsid w:val="00510A7B"/>
    <w:rsid w:val="005123D6"/>
    <w:rsid w:val="00512F6E"/>
    <w:rsid w:val="00513038"/>
    <w:rsid w:val="00514174"/>
    <w:rsid w:val="00514A2E"/>
    <w:rsid w:val="00516088"/>
    <w:rsid w:val="00516B0B"/>
    <w:rsid w:val="00517A73"/>
    <w:rsid w:val="005220EC"/>
    <w:rsid w:val="00522897"/>
    <w:rsid w:val="00523667"/>
    <w:rsid w:val="00523F95"/>
    <w:rsid w:val="00524D65"/>
    <w:rsid w:val="00525B16"/>
    <w:rsid w:val="00526F7D"/>
    <w:rsid w:val="00533D04"/>
    <w:rsid w:val="00534804"/>
    <w:rsid w:val="00534BDF"/>
    <w:rsid w:val="005354EA"/>
    <w:rsid w:val="0053585F"/>
    <w:rsid w:val="00535EC4"/>
    <w:rsid w:val="00535ED9"/>
    <w:rsid w:val="0053692B"/>
    <w:rsid w:val="00541529"/>
    <w:rsid w:val="00541853"/>
    <w:rsid w:val="00542CC1"/>
    <w:rsid w:val="00543BDA"/>
    <w:rsid w:val="005441CC"/>
    <w:rsid w:val="0054428C"/>
    <w:rsid w:val="005479DA"/>
    <w:rsid w:val="00547BCC"/>
    <w:rsid w:val="0055013B"/>
    <w:rsid w:val="00551F6F"/>
    <w:rsid w:val="00555044"/>
    <w:rsid w:val="00555999"/>
    <w:rsid w:val="00555B5C"/>
    <w:rsid w:val="00556F42"/>
    <w:rsid w:val="00560E0B"/>
    <w:rsid w:val="00561475"/>
    <w:rsid w:val="0056487B"/>
    <w:rsid w:val="00564FB9"/>
    <w:rsid w:val="0057285D"/>
    <w:rsid w:val="00573D9E"/>
    <w:rsid w:val="00573EA2"/>
    <w:rsid w:val="0057446E"/>
    <w:rsid w:val="005801E3"/>
    <w:rsid w:val="00581802"/>
    <w:rsid w:val="005836A8"/>
    <w:rsid w:val="0058409C"/>
    <w:rsid w:val="005840BA"/>
    <w:rsid w:val="00584262"/>
    <w:rsid w:val="00586630"/>
    <w:rsid w:val="00587ADD"/>
    <w:rsid w:val="00591E27"/>
    <w:rsid w:val="005941CF"/>
    <w:rsid w:val="00596160"/>
    <w:rsid w:val="005966E2"/>
    <w:rsid w:val="00597007"/>
    <w:rsid w:val="005A0966"/>
    <w:rsid w:val="005A11B7"/>
    <w:rsid w:val="005A260B"/>
    <w:rsid w:val="005A2CA9"/>
    <w:rsid w:val="005A4A1B"/>
    <w:rsid w:val="005A7830"/>
    <w:rsid w:val="005A7FCE"/>
    <w:rsid w:val="005B0F3F"/>
    <w:rsid w:val="005B4903"/>
    <w:rsid w:val="005B51CE"/>
    <w:rsid w:val="005B5885"/>
    <w:rsid w:val="005B5CD7"/>
    <w:rsid w:val="005B6CF6"/>
    <w:rsid w:val="005B73E3"/>
    <w:rsid w:val="005B7422"/>
    <w:rsid w:val="005C0DF1"/>
    <w:rsid w:val="005C29B8"/>
    <w:rsid w:val="005C5F21"/>
    <w:rsid w:val="005C7156"/>
    <w:rsid w:val="005D0C75"/>
    <w:rsid w:val="005D3031"/>
    <w:rsid w:val="005D4171"/>
    <w:rsid w:val="005D6A95"/>
    <w:rsid w:val="005D6B2C"/>
    <w:rsid w:val="005D6D9C"/>
    <w:rsid w:val="005E022C"/>
    <w:rsid w:val="005E2335"/>
    <w:rsid w:val="005E34CA"/>
    <w:rsid w:val="005E3C18"/>
    <w:rsid w:val="005E6812"/>
    <w:rsid w:val="005E7881"/>
    <w:rsid w:val="005E78E0"/>
    <w:rsid w:val="005E7944"/>
    <w:rsid w:val="005F0D9C"/>
    <w:rsid w:val="005F284E"/>
    <w:rsid w:val="005F335D"/>
    <w:rsid w:val="005F4712"/>
    <w:rsid w:val="006015CE"/>
    <w:rsid w:val="00604784"/>
    <w:rsid w:val="00606419"/>
    <w:rsid w:val="00607D29"/>
    <w:rsid w:val="00611B65"/>
    <w:rsid w:val="00612952"/>
    <w:rsid w:val="00614CC1"/>
    <w:rsid w:val="00615A9D"/>
    <w:rsid w:val="00617387"/>
    <w:rsid w:val="006205D6"/>
    <w:rsid w:val="00620A35"/>
    <w:rsid w:val="006252D8"/>
    <w:rsid w:val="006259BC"/>
    <w:rsid w:val="0062636B"/>
    <w:rsid w:val="006266F4"/>
    <w:rsid w:val="0063165A"/>
    <w:rsid w:val="00632182"/>
    <w:rsid w:val="00632AE0"/>
    <w:rsid w:val="00633C17"/>
    <w:rsid w:val="00634893"/>
    <w:rsid w:val="00634D9E"/>
    <w:rsid w:val="00636E3E"/>
    <w:rsid w:val="006379F7"/>
    <w:rsid w:val="00637A5E"/>
    <w:rsid w:val="00637E4D"/>
    <w:rsid w:val="00640620"/>
    <w:rsid w:val="00641A1F"/>
    <w:rsid w:val="00644388"/>
    <w:rsid w:val="00645904"/>
    <w:rsid w:val="00647A02"/>
    <w:rsid w:val="00651ACB"/>
    <w:rsid w:val="00651C47"/>
    <w:rsid w:val="00652AB2"/>
    <w:rsid w:val="00653FED"/>
    <w:rsid w:val="00654EC0"/>
    <w:rsid w:val="0065525B"/>
    <w:rsid w:val="00655D4F"/>
    <w:rsid w:val="00656D29"/>
    <w:rsid w:val="006640E5"/>
    <w:rsid w:val="006646F1"/>
    <w:rsid w:val="00664929"/>
    <w:rsid w:val="00664B2C"/>
    <w:rsid w:val="00664F62"/>
    <w:rsid w:val="006655E1"/>
    <w:rsid w:val="00670897"/>
    <w:rsid w:val="00672060"/>
    <w:rsid w:val="00672BFD"/>
    <w:rsid w:val="006770F4"/>
    <w:rsid w:val="00677A84"/>
    <w:rsid w:val="0068026D"/>
    <w:rsid w:val="00680A27"/>
    <w:rsid w:val="00680B0D"/>
    <w:rsid w:val="006816A4"/>
    <w:rsid w:val="006819B8"/>
    <w:rsid w:val="006840A6"/>
    <w:rsid w:val="006850CD"/>
    <w:rsid w:val="00685AAB"/>
    <w:rsid w:val="00690272"/>
    <w:rsid w:val="00690800"/>
    <w:rsid w:val="006952E8"/>
    <w:rsid w:val="00695D22"/>
    <w:rsid w:val="006A07AA"/>
    <w:rsid w:val="006A25E5"/>
    <w:rsid w:val="006A2B46"/>
    <w:rsid w:val="006A336D"/>
    <w:rsid w:val="006A37B9"/>
    <w:rsid w:val="006A5279"/>
    <w:rsid w:val="006B1F1B"/>
    <w:rsid w:val="006B2672"/>
    <w:rsid w:val="006B49A5"/>
    <w:rsid w:val="006B54BF"/>
    <w:rsid w:val="006B5F44"/>
    <w:rsid w:val="006B5F90"/>
    <w:rsid w:val="006B62E4"/>
    <w:rsid w:val="006C1BBA"/>
    <w:rsid w:val="006C2079"/>
    <w:rsid w:val="006C5310"/>
    <w:rsid w:val="006C5A62"/>
    <w:rsid w:val="006C5D68"/>
    <w:rsid w:val="006C6976"/>
    <w:rsid w:val="006C6DD0"/>
    <w:rsid w:val="006C7CB5"/>
    <w:rsid w:val="006D04EA"/>
    <w:rsid w:val="006D0AB7"/>
    <w:rsid w:val="006D16C4"/>
    <w:rsid w:val="006D23C3"/>
    <w:rsid w:val="006D3E96"/>
    <w:rsid w:val="006D4515"/>
    <w:rsid w:val="006D4BB1"/>
    <w:rsid w:val="006D6593"/>
    <w:rsid w:val="006E23EA"/>
    <w:rsid w:val="006E3B99"/>
    <w:rsid w:val="006E5688"/>
    <w:rsid w:val="006E613E"/>
    <w:rsid w:val="006F03A8"/>
    <w:rsid w:val="006F2ACA"/>
    <w:rsid w:val="006F2ADC"/>
    <w:rsid w:val="006F2BFE"/>
    <w:rsid w:val="006F31E9"/>
    <w:rsid w:val="006F3521"/>
    <w:rsid w:val="006F606F"/>
    <w:rsid w:val="006F6284"/>
    <w:rsid w:val="006F69F8"/>
    <w:rsid w:val="007002C5"/>
    <w:rsid w:val="00704387"/>
    <w:rsid w:val="00704B5B"/>
    <w:rsid w:val="00707669"/>
    <w:rsid w:val="007105E4"/>
    <w:rsid w:val="00711CBA"/>
    <w:rsid w:val="00711FB5"/>
    <w:rsid w:val="0071258E"/>
    <w:rsid w:val="00712A01"/>
    <w:rsid w:val="00714F58"/>
    <w:rsid w:val="00722FBF"/>
    <w:rsid w:val="00722FC2"/>
    <w:rsid w:val="00724879"/>
    <w:rsid w:val="00724E1B"/>
    <w:rsid w:val="00725949"/>
    <w:rsid w:val="00727FA2"/>
    <w:rsid w:val="007322D9"/>
    <w:rsid w:val="00732BC0"/>
    <w:rsid w:val="00732F2B"/>
    <w:rsid w:val="00736F85"/>
    <w:rsid w:val="0073720F"/>
    <w:rsid w:val="00737796"/>
    <w:rsid w:val="0074165C"/>
    <w:rsid w:val="00742C35"/>
    <w:rsid w:val="007432CA"/>
    <w:rsid w:val="007434DB"/>
    <w:rsid w:val="007439EB"/>
    <w:rsid w:val="00743CB4"/>
    <w:rsid w:val="00743F0A"/>
    <w:rsid w:val="007444E8"/>
    <w:rsid w:val="0074548E"/>
    <w:rsid w:val="00745773"/>
    <w:rsid w:val="00746800"/>
    <w:rsid w:val="007501A8"/>
    <w:rsid w:val="00750D61"/>
    <w:rsid w:val="00750EE1"/>
    <w:rsid w:val="00752B4D"/>
    <w:rsid w:val="00755402"/>
    <w:rsid w:val="00755A5A"/>
    <w:rsid w:val="00756B26"/>
    <w:rsid w:val="00756EDF"/>
    <w:rsid w:val="007600E3"/>
    <w:rsid w:val="00765C43"/>
    <w:rsid w:val="00765EFB"/>
    <w:rsid w:val="007665AE"/>
    <w:rsid w:val="007671CA"/>
    <w:rsid w:val="00767C61"/>
    <w:rsid w:val="0077008A"/>
    <w:rsid w:val="00770CCE"/>
    <w:rsid w:val="00773293"/>
    <w:rsid w:val="00773C1F"/>
    <w:rsid w:val="00774DA4"/>
    <w:rsid w:val="00776599"/>
    <w:rsid w:val="0078114B"/>
    <w:rsid w:val="00781DD2"/>
    <w:rsid w:val="00783ECF"/>
    <w:rsid w:val="0078413A"/>
    <w:rsid w:val="00785441"/>
    <w:rsid w:val="007909AD"/>
    <w:rsid w:val="00793B60"/>
    <w:rsid w:val="00795134"/>
    <w:rsid w:val="007959E8"/>
    <w:rsid w:val="00795E9C"/>
    <w:rsid w:val="007A0521"/>
    <w:rsid w:val="007A2E12"/>
    <w:rsid w:val="007A3138"/>
    <w:rsid w:val="007A3475"/>
    <w:rsid w:val="007A41C8"/>
    <w:rsid w:val="007A54CE"/>
    <w:rsid w:val="007A6FD9"/>
    <w:rsid w:val="007A7FFA"/>
    <w:rsid w:val="007B04EB"/>
    <w:rsid w:val="007B0D4F"/>
    <w:rsid w:val="007B28FB"/>
    <w:rsid w:val="007B5A3D"/>
    <w:rsid w:val="007B5ADA"/>
    <w:rsid w:val="007B5B95"/>
    <w:rsid w:val="007B68EA"/>
    <w:rsid w:val="007B7453"/>
    <w:rsid w:val="007C1E8B"/>
    <w:rsid w:val="007C2D89"/>
    <w:rsid w:val="007C4593"/>
    <w:rsid w:val="007C5309"/>
    <w:rsid w:val="007C6069"/>
    <w:rsid w:val="007C6AD0"/>
    <w:rsid w:val="007D06C4"/>
    <w:rsid w:val="007D1352"/>
    <w:rsid w:val="007D2508"/>
    <w:rsid w:val="007D346A"/>
    <w:rsid w:val="007D6518"/>
    <w:rsid w:val="007D76BD"/>
    <w:rsid w:val="007E0BF1"/>
    <w:rsid w:val="007F0ED8"/>
    <w:rsid w:val="007F0F63"/>
    <w:rsid w:val="007F3415"/>
    <w:rsid w:val="007F3CA4"/>
    <w:rsid w:val="007F6BC9"/>
    <w:rsid w:val="007F75CE"/>
    <w:rsid w:val="008013A4"/>
    <w:rsid w:val="008014BF"/>
    <w:rsid w:val="008027CE"/>
    <w:rsid w:val="00802F42"/>
    <w:rsid w:val="00803ACF"/>
    <w:rsid w:val="00804383"/>
    <w:rsid w:val="00804BB7"/>
    <w:rsid w:val="00804D41"/>
    <w:rsid w:val="00810257"/>
    <w:rsid w:val="008104F5"/>
    <w:rsid w:val="00811072"/>
    <w:rsid w:val="00811369"/>
    <w:rsid w:val="008123D0"/>
    <w:rsid w:val="00815419"/>
    <w:rsid w:val="008163C8"/>
    <w:rsid w:val="008164A1"/>
    <w:rsid w:val="00817325"/>
    <w:rsid w:val="008209E6"/>
    <w:rsid w:val="00823303"/>
    <w:rsid w:val="008233B2"/>
    <w:rsid w:val="00823A9F"/>
    <w:rsid w:val="00823C85"/>
    <w:rsid w:val="00825138"/>
    <w:rsid w:val="00826516"/>
    <w:rsid w:val="008269DD"/>
    <w:rsid w:val="00830621"/>
    <w:rsid w:val="0083348C"/>
    <w:rsid w:val="008373D3"/>
    <w:rsid w:val="00840617"/>
    <w:rsid w:val="00840F84"/>
    <w:rsid w:val="00842921"/>
    <w:rsid w:val="00842A47"/>
    <w:rsid w:val="00843995"/>
    <w:rsid w:val="00843C13"/>
    <w:rsid w:val="00844C6C"/>
    <w:rsid w:val="008454F8"/>
    <w:rsid w:val="00850DF1"/>
    <w:rsid w:val="0085173A"/>
    <w:rsid w:val="00855366"/>
    <w:rsid w:val="00856316"/>
    <w:rsid w:val="008603CE"/>
    <w:rsid w:val="008620FC"/>
    <w:rsid w:val="008627A5"/>
    <w:rsid w:val="00862E11"/>
    <w:rsid w:val="00863E05"/>
    <w:rsid w:val="00865ACA"/>
    <w:rsid w:val="00865D28"/>
    <w:rsid w:val="00865F85"/>
    <w:rsid w:val="00867C10"/>
    <w:rsid w:val="00870439"/>
    <w:rsid w:val="00870DA1"/>
    <w:rsid w:val="0088346D"/>
    <w:rsid w:val="00883C00"/>
    <w:rsid w:val="00883F93"/>
    <w:rsid w:val="00884DB3"/>
    <w:rsid w:val="00885A9D"/>
    <w:rsid w:val="008864F6"/>
    <w:rsid w:val="0089049D"/>
    <w:rsid w:val="00892687"/>
    <w:rsid w:val="008928C9"/>
    <w:rsid w:val="008930CB"/>
    <w:rsid w:val="008938DC"/>
    <w:rsid w:val="00893FD1"/>
    <w:rsid w:val="00894836"/>
    <w:rsid w:val="00895172"/>
    <w:rsid w:val="00895680"/>
    <w:rsid w:val="00895D12"/>
    <w:rsid w:val="00896DFF"/>
    <w:rsid w:val="0089762C"/>
    <w:rsid w:val="008A1893"/>
    <w:rsid w:val="008A265D"/>
    <w:rsid w:val="008A3215"/>
    <w:rsid w:val="008A57E6"/>
    <w:rsid w:val="008A6BD9"/>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9C4"/>
    <w:rsid w:val="008E6A84"/>
    <w:rsid w:val="008F0CDC"/>
    <w:rsid w:val="008F13D0"/>
    <w:rsid w:val="008F17A3"/>
    <w:rsid w:val="008F1AD2"/>
    <w:rsid w:val="008F1ED3"/>
    <w:rsid w:val="008F23A5"/>
    <w:rsid w:val="008F4C29"/>
    <w:rsid w:val="008F593F"/>
    <w:rsid w:val="008F70BD"/>
    <w:rsid w:val="008F788F"/>
    <w:rsid w:val="008F7BD9"/>
    <w:rsid w:val="008F7EA2"/>
    <w:rsid w:val="008F7F33"/>
    <w:rsid w:val="00902722"/>
    <w:rsid w:val="009027BC"/>
    <w:rsid w:val="009050A2"/>
    <w:rsid w:val="009062E6"/>
    <w:rsid w:val="00907E9A"/>
    <w:rsid w:val="00911BE5"/>
    <w:rsid w:val="009121C8"/>
    <w:rsid w:val="00913CA9"/>
    <w:rsid w:val="009145AE"/>
    <w:rsid w:val="009146CE"/>
    <w:rsid w:val="00914CA7"/>
    <w:rsid w:val="00915C3E"/>
    <w:rsid w:val="009161A8"/>
    <w:rsid w:val="009245F5"/>
    <w:rsid w:val="009249EC"/>
    <w:rsid w:val="009273B3"/>
    <w:rsid w:val="009305B5"/>
    <w:rsid w:val="009429D5"/>
    <w:rsid w:val="00942BF1"/>
    <w:rsid w:val="00944C11"/>
    <w:rsid w:val="00945180"/>
    <w:rsid w:val="00945428"/>
    <w:rsid w:val="00945E9C"/>
    <w:rsid w:val="0094607B"/>
    <w:rsid w:val="009503F1"/>
    <w:rsid w:val="00953604"/>
    <w:rsid w:val="00953FDA"/>
    <w:rsid w:val="0095496B"/>
    <w:rsid w:val="009610DC"/>
    <w:rsid w:val="00961490"/>
    <w:rsid w:val="0096381A"/>
    <w:rsid w:val="00965E04"/>
    <w:rsid w:val="009674AD"/>
    <w:rsid w:val="00970CDC"/>
    <w:rsid w:val="00970D94"/>
    <w:rsid w:val="00977010"/>
    <w:rsid w:val="00977379"/>
    <w:rsid w:val="00977D02"/>
    <w:rsid w:val="009809BB"/>
    <w:rsid w:val="0098227D"/>
    <w:rsid w:val="0098364B"/>
    <w:rsid w:val="00984F90"/>
    <w:rsid w:val="00986867"/>
    <w:rsid w:val="009911AF"/>
    <w:rsid w:val="00991875"/>
    <w:rsid w:val="00991F92"/>
    <w:rsid w:val="0099213D"/>
    <w:rsid w:val="00992985"/>
    <w:rsid w:val="00993889"/>
    <w:rsid w:val="0099551B"/>
    <w:rsid w:val="009967A8"/>
    <w:rsid w:val="00997BF1"/>
    <w:rsid w:val="009A0654"/>
    <w:rsid w:val="009A089C"/>
    <w:rsid w:val="009A118E"/>
    <w:rsid w:val="009A21CD"/>
    <w:rsid w:val="009A278C"/>
    <w:rsid w:val="009A2BC2"/>
    <w:rsid w:val="009A42C1"/>
    <w:rsid w:val="009A5429"/>
    <w:rsid w:val="009A72AD"/>
    <w:rsid w:val="009B09E0"/>
    <w:rsid w:val="009B0BC5"/>
    <w:rsid w:val="009B1247"/>
    <w:rsid w:val="009B15F8"/>
    <w:rsid w:val="009B1A3D"/>
    <w:rsid w:val="009B46F9"/>
    <w:rsid w:val="009B6029"/>
    <w:rsid w:val="009B66FF"/>
    <w:rsid w:val="009B6971"/>
    <w:rsid w:val="009B6B83"/>
    <w:rsid w:val="009C27F1"/>
    <w:rsid w:val="009C2B86"/>
    <w:rsid w:val="009C3152"/>
    <w:rsid w:val="009C4CFA"/>
    <w:rsid w:val="009C5070"/>
    <w:rsid w:val="009C6CB2"/>
    <w:rsid w:val="009C7BF4"/>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C08"/>
    <w:rsid w:val="00A06A6B"/>
    <w:rsid w:val="00A07E47"/>
    <w:rsid w:val="00A11E50"/>
    <w:rsid w:val="00A129D0"/>
    <w:rsid w:val="00A12C33"/>
    <w:rsid w:val="00A138BA"/>
    <w:rsid w:val="00A14C8E"/>
    <w:rsid w:val="00A153D9"/>
    <w:rsid w:val="00A15F09"/>
    <w:rsid w:val="00A164D1"/>
    <w:rsid w:val="00A169A5"/>
    <w:rsid w:val="00A169B6"/>
    <w:rsid w:val="00A1752F"/>
    <w:rsid w:val="00A21F0B"/>
    <w:rsid w:val="00A2271D"/>
    <w:rsid w:val="00A237D5"/>
    <w:rsid w:val="00A247DA"/>
    <w:rsid w:val="00A30EFC"/>
    <w:rsid w:val="00A31984"/>
    <w:rsid w:val="00A31C37"/>
    <w:rsid w:val="00A32D73"/>
    <w:rsid w:val="00A3367B"/>
    <w:rsid w:val="00A338B7"/>
    <w:rsid w:val="00A3597D"/>
    <w:rsid w:val="00A36DD1"/>
    <w:rsid w:val="00A4006C"/>
    <w:rsid w:val="00A40091"/>
    <w:rsid w:val="00A4030F"/>
    <w:rsid w:val="00A41C79"/>
    <w:rsid w:val="00A41CB5"/>
    <w:rsid w:val="00A42CDF"/>
    <w:rsid w:val="00A4452E"/>
    <w:rsid w:val="00A4472C"/>
    <w:rsid w:val="00A44E69"/>
    <w:rsid w:val="00A4661E"/>
    <w:rsid w:val="00A53BFF"/>
    <w:rsid w:val="00A55BD6"/>
    <w:rsid w:val="00A55D50"/>
    <w:rsid w:val="00A57142"/>
    <w:rsid w:val="00A648CD"/>
    <w:rsid w:val="00A6537A"/>
    <w:rsid w:val="00A67866"/>
    <w:rsid w:val="00A70B07"/>
    <w:rsid w:val="00A723F8"/>
    <w:rsid w:val="00A73772"/>
    <w:rsid w:val="00A77CCB"/>
    <w:rsid w:val="00A82E63"/>
    <w:rsid w:val="00A83D8D"/>
    <w:rsid w:val="00A8446B"/>
    <w:rsid w:val="00A8473F"/>
    <w:rsid w:val="00A862D6"/>
    <w:rsid w:val="00A8715E"/>
    <w:rsid w:val="00A90A00"/>
    <w:rsid w:val="00A9295B"/>
    <w:rsid w:val="00A93B09"/>
    <w:rsid w:val="00A94247"/>
    <w:rsid w:val="00A952D7"/>
    <w:rsid w:val="00A963F7"/>
    <w:rsid w:val="00A96AD8"/>
    <w:rsid w:val="00A9787F"/>
    <w:rsid w:val="00AA052C"/>
    <w:rsid w:val="00AA1E45"/>
    <w:rsid w:val="00AA4286"/>
    <w:rsid w:val="00AA456B"/>
    <w:rsid w:val="00AA57F5"/>
    <w:rsid w:val="00AA672E"/>
    <w:rsid w:val="00AA6EC9"/>
    <w:rsid w:val="00AA7318"/>
    <w:rsid w:val="00AB41D5"/>
    <w:rsid w:val="00AB494E"/>
    <w:rsid w:val="00AB6309"/>
    <w:rsid w:val="00AB6C5F"/>
    <w:rsid w:val="00AB7129"/>
    <w:rsid w:val="00AB7F94"/>
    <w:rsid w:val="00AC0BC7"/>
    <w:rsid w:val="00AC27A6"/>
    <w:rsid w:val="00AC30F7"/>
    <w:rsid w:val="00AC3378"/>
    <w:rsid w:val="00AC3A5A"/>
    <w:rsid w:val="00AC4D95"/>
    <w:rsid w:val="00AC5465"/>
    <w:rsid w:val="00AC5DF4"/>
    <w:rsid w:val="00AC602A"/>
    <w:rsid w:val="00AC6914"/>
    <w:rsid w:val="00AD0AEF"/>
    <w:rsid w:val="00AD11B7"/>
    <w:rsid w:val="00AD1A94"/>
    <w:rsid w:val="00AD1C05"/>
    <w:rsid w:val="00AD4126"/>
    <w:rsid w:val="00AD421C"/>
    <w:rsid w:val="00AD44FA"/>
    <w:rsid w:val="00AE070A"/>
    <w:rsid w:val="00AE101C"/>
    <w:rsid w:val="00AE2930"/>
    <w:rsid w:val="00AE2DB2"/>
    <w:rsid w:val="00AE35E2"/>
    <w:rsid w:val="00AE37E5"/>
    <w:rsid w:val="00AE425A"/>
    <w:rsid w:val="00AE5EB4"/>
    <w:rsid w:val="00AF0C18"/>
    <w:rsid w:val="00AF47C5"/>
    <w:rsid w:val="00AF5398"/>
    <w:rsid w:val="00B0173B"/>
    <w:rsid w:val="00B03223"/>
    <w:rsid w:val="00B049AF"/>
    <w:rsid w:val="00B07242"/>
    <w:rsid w:val="00B10534"/>
    <w:rsid w:val="00B113DB"/>
    <w:rsid w:val="00B11D8A"/>
    <w:rsid w:val="00B12981"/>
    <w:rsid w:val="00B147DD"/>
    <w:rsid w:val="00B156FD"/>
    <w:rsid w:val="00B21CF0"/>
    <w:rsid w:val="00B21F61"/>
    <w:rsid w:val="00B26121"/>
    <w:rsid w:val="00B261F1"/>
    <w:rsid w:val="00B265BC"/>
    <w:rsid w:val="00B31FB1"/>
    <w:rsid w:val="00B33952"/>
    <w:rsid w:val="00B33C5E"/>
    <w:rsid w:val="00B342F4"/>
    <w:rsid w:val="00B34369"/>
    <w:rsid w:val="00B34CAD"/>
    <w:rsid w:val="00B34DC2"/>
    <w:rsid w:val="00B3552E"/>
    <w:rsid w:val="00B368A3"/>
    <w:rsid w:val="00B378E5"/>
    <w:rsid w:val="00B430BA"/>
    <w:rsid w:val="00B4346D"/>
    <w:rsid w:val="00B434A4"/>
    <w:rsid w:val="00B440F4"/>
    <w:rsid w:val="00B447A5"/>
    <w:rsid w:val="00B46442"/>
    <w:rsid w:val="00B4654C"/>
    <w:rsid w:val="00B46AF0"/>
    <w:rsid w:val="00B47293"/>
    <w:rsid w:val="00B47EA6"/>
    <w:rsid w:val="00B5081D"/>
    <w:rsid w:val="00B50E2C"/>
    <w:rsid w:val="00B50E50"/>
    <w:rsid w:val="00B513DC"/>
    <w:rsid w:val="00B52120"/>
    <w:rsid w:val="00B54ABC"/>
    <w:rsid w:val="00B54DDE"/>
    <w:rsid w:val="00B56FBE"/>
    <w:rsid w:val="00B57EC5"/>
    <w:rsid w:val="00B60ACF"/>
    <w:rsid w:val="00B62B58"/>
    <w:rsid w:val="00B65149"/>
    <w:rsid w:val="00B66567"/>
    <w:rsid w:val="00B66CA9"/>
    <w:rsid w:val="00B66F52"/>
    <w:rsid w:val="00B66FE5"/>
    <w:rsid w:val="00B72880"/>
    <w:rsid w:val="00B746CA"/>
    <w:rsid w:val="00B74D5B"/>
    <w:rsid w:val="00B758BF"/>
    <w:rsid w:val="00B77EC8"/>
    <w:rsid w:val="00B827A6"/>
    <w:rsid w:val="00B831CE"/>
    <w:rsid w:val="00B86677"/>
    <w:rsid w:val="00B87131"/>
    <w:rsid w:val="00B939B1"/>
    <w:rsid w:val="00B96D40"/>
    <w:rsid w:val="00B97386"/>
    <w:rsid w:val="00BA263B"/>
    <w:rsid w:val="00BA42B2"/>
    <w:rsid w:val="00BA45A7"/>
    <w:rsid w:val="00BA58D4"/>
    <w:rsid w:val="00BA5B9E"/>
    <w:rsid w:val="00BA7C9A"/>
    <w:rsid w:val="00BB203B"/>
    <w:rsid w:val="00BB5F8F"/>
    <w:rsid w:val="00BB657A"/>
    <w:rsid w:val="00BC1A4E"/>
    <w:rsid w:val="00BC4790"/>
    <w:rsid w:val="00BC5DC7"/>
    <w:rsid w:val="00BC6B8B"/>
    <w:rsid w:val="00BC6C35"/>
    <w:rsid w:val="00BC73D8"/>
    <w:rsid w:val="00BD3DBF"/>
    <w:rsid w:val="00BD52D7"/>
    <w:rsid w:val="00BD5AD2"/>
    <w:rsid w:val="00BD7BB7"/>
    <w:rsid w:val="00BE22F3"/>
    <w:rsid w:val="00BE5B52"/>
    <w:rsid w:val="00BE5B91"/>
    <w:rsid w:val="00BE7B8D"/>
    <w:rsid w:val="00BF0993"/>
    <w:rsid w:val="00BF10A9"/>
    <w:rsid w:val="00BF1703"/>
    <w:rsid w:val="00BF231C"/>
    <w:rsid w:val="00BF451F"/>
    <w:rsid w:val="00BF51E5"/>
    <w:rsid w:val="00BF73C5"/>
    <w:rsid w:val="00BF74A6"/>
    <w:rsid w:val="00C013AD"/>
    <w:rsid w:val="00C04904"/>
    <w:rsid w:val="00C056B3"/>
    <w:rsid w:val="00C103E5"/>
    <w:rsid w:val="00C13319"/>
    <w:rsid w:val="00C13EE9"/>
    <w:rsid w:val="00C154F9"/>
    <w:rsid w:val="00C21540"/>
    <w:rsid w:val="00C21906"/>
    <w:rsid w:val="00C21BFA"/>
    <w:rsid w:val="00C22148"/>
    <w:rsid w:val="00C24C8D"/>
    <w:rsid w:val="00C25FE2"/>
    <w:rsid w:val="00C26B53"/>
    <w:rsid w:val="00C279B2"/>
    <w:rsid w:val="00C33E50"/>
    <w:rsid w:val="00C34C20"/>
    <w:rsid w:val="00C35452"/>
    <w:rsid w:val="00C35A3E"/>
    <w:rsid w:val="00C42130"/>
    <w:rsid w:val="00C423A4"/>
    <w:rsid w:val="00C44BF5"/>
    <w:rsid w:val="00C45518"/>
    <w:rsid w:val="00C510EC"/>
    <w:rsid w:val="00C521D6"/>
    <w:rsid w:val="00C55232"/>
    <w:rsid w:val="00C553A4"/>
    <w:rsid w:val="00C55A06"/>
    <w:rsid w:val="00C55D03"/>
    <w:rsid w:val="00C601BC"/>
    <w:rsid w:val="00C6329F"/>
    <w:rsid w:val="00C63340"/>
    <w:rsid w:val="00C643F9"/>
    <w:rsid w:val="00C64E95"/>
    <w:rsid w:val="00C71372"/>
    <w:rsid w:val="00C72410"/>
    <w:rsid w:val="00C7287F"/>
    <w:rsid w:val="00C748AC"/>
    <w:rsid w:val="00C75FE7"/>
    <w:rsid w:val="00C80982"/>
    <w:rsid w:val="00C80CB8"/>
    <w:rsid w:val="00C819F8"/>
    <w:rsid w:val="00C8248C"/>
    <w:rsid w:val="00C84E33"/>
    <w:rsid w:val="00C86318"/>
    <w:rsid w:val="00C86D6F"/>
    <w:rsid w:val="00C905FC"/>
    <w:rsid w:val="00C90AAD"/>
    <w:rsid w:val="00C92D03"/>
    <w:rsid w:val="00C9319C"/>
    <w:rsid w:val="00C938EF"/>
    <w:rsid w:val="00C9435D"/>
    <w:rsid w:val="00C94DF2"/>
    <w:rsid w:val="00C958AF"/>
    <w:rsid w:val="00C966B6"/>
    <w:rsid w:val="00C96741"/>
    <w:rsid w:val="00CA2D1B"/>
    <w:rsid w:val="00CA375D"/>
    <w:rsid w:val="00CA662A"/>
    <w:rsid w:val="00CA7AFD"/>
    <w:rsid w:val="00CA7C3C"/>
    <w:rsid w:val="00CB0189"/>
    <w:rsid w:val="00CB0BA2"/>
    <w:rsid w:val="00CB16A4"/>
    <w:rsid w:val="00CB1A42"/>
    <w:rsid w:val="00CB1B0C"/>
    <w:rsid w:val="00CB2C0B"/>
    <w:rsid w:val="00CB517D"/>
    <w:rsid w:val="00CC034E"/>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4BFA"/>
    <w:rsid w:val="00CE4EDE"/>
    <w:rsid w:val="00CE7D27"/>
    <w:rsid w:val="00CF048A"/>
    <w:rsid w:val="00CF155A"/>
    <w:rsid w:val="00CF1849"/>
    <w:rsid w:val="00CF2947"/>
    <w:rsid w:val="00CF3080"/>
    <w:rsid w:val="00CF48DD"/>
    <w:rsid w:val="00CF686F"/>
    <w:rsid w:val="00CF6E60"/>
    <w:rsid w:val="00CF7BCA"/>
    <w:rsid w:val="00D008FD"/>
    <w:rsid w:val="00D028AD"/>
    <w:rsid w:val="00D0321C"/>
    <w:rsid w:val="00D035EC"/>
    <w:rsid w:val="00D06AB1"/>
    <w:rsid w:val="00D06F3D"/>
    <w:rsid w:val="00D072ED"/>
    <w:rsid w:val="00D079D8"/>
    <w:rsid w:val="00D07A16"/>
    <w:rsid w:val="00D1067E"/>
    <w:rsid w:val="00D10F50"/>
    <w:rsid w:val="00D11272"/>
    <w:rsid w:val="00D126F5"/>
    <w:rsid w:val="00D13B63"/>
    <w:rsid w:val="00D1489E"/>
    <w:rsid w:val="00D14B1D"/>
    <w:rsid w:val="00D17FB7"/>
    <w:rsid w:val="00D20737"/>
    <w:rsid w:val="00D21E81"/>
    <w:rsid w:val="00D223DE"/>
    <w:rsid w:val="00D22FA4"/>
    <w:rsid w:val="00D233C6"/>
    <w:rsid w:val="00D25E37"/>
    <w:rsid w:val="00D2661A"/>
    <w:rsid w:val="00D27582"/>
    <w:rsid w:val="00D27A0F"/>
    <w:rsid w:val="00D27EC4"/>
    <w:rsid w:val="00D32719"/>
    <w:rsid w:val="00D33333"/>
    <w:rsid w:val="00D33457"/>
    <w:rsid w:val="00D33AE1"/>
    <w:rsid w:val="00D352A2"/>
    <w:rsid w:val="00D3660F"/>
    <w:rsid w:val="00D4162B"/>
    <w:rsid w:val="00D44D6C"/>
    <w:rsid w:val="00D4514F"/>
    <w:rsid w:val="00D451E2"/>
    <w:rsid w:val="00D45E89"/>
    <w:rsid w:val="00D45E8D"/>
    <w:rsid w:val="00D466AE"/>
    <w:rsid w:val="00D4734F"/>
    <w:rsid w:val="00D51BF3"/>
    <w:rsid w:val="00D56FDA"/>
    <w:rsid w:val="00D66846"/>
    <w:rsid w:val="00D675FB"/>
    <w:rsid w:val="00D71F25"/>
    <w:rsid w:val="00D72A9C"/>
    <w:rsid w:val="00D77031"/>
    <w:rsid w:val="00D7763F"/>
    <w:rsid w:val="00D83226"/>
    <w:rsid w:val="00D84941"/>
    <w:rsid w:val="00D84FA1"/>
    <w:rsid w:val="00D851F0"/>
    <w:rsid w:val="00D855C0"/>
    <w:rsid w:val="00D86DB7"/>
    <w:rsid w:val="00D8705F"/>
    <w:rsid w:val="00D91F93"/>
    <w:rsid w:val="00D926D0"/>
    <w:rsid w:val="00D93030"/>
    <w:rsid w:val="00D950E1"/>
    <w:rsid w:val="00D952A6"/>
    <w:rsid w:val="00D95F73"/>
    <w:rsid w:val="00D97178"/>
    <w:rsid w:val="00D97F99"/>
    <w:rsid w:val="00DA1E08"/>
    <w:rsid w:val="00DA24F8"/>
    <w:rsid w:val="00DA28E8"/>
    <w:rsid w:val="00DA38D3"/>
    <w:rsid w:val="00DA3932"/>
    <w:rsid w:val="00DA3960"/>
    <w:rsid w:val="00DA3AFC"/>
    <w:rsid w:val="00DA5191"/>
    <w:rsid w:val="00DA64F8"/>
    <w:rsid w:val="00DA69E9"/>
    <w:rsid w:val="00DA6C15"/>
    <w:rsid w:val="00DA7D7A"/>
    <w:rsid w:val="00DB0258"/>
    <w:rsid w:val="00DB17AC"/>
    <w:rsid w:val="00DB17B7"/>
    <w:rsid w:val="00DB38EE"/>
    <w:rsid w:val="00DB498B"/>
    <w:rsid w:val="00DB66CA"/>
    <w:rsid w:val="00DB6BCA"/>
    <w:rsid w:val="00DB73F7"/>
    <w:rsid w:val="00DC0321"/>
    <w:rsid w:val="00DC3067"/>
    <w:rsid w:val="00DC370B"/>
    <w:rsid w:val="00DC5B90"/>
    <w:rsid w:val="00DC64D3"/>
    <w:rsid w:val="00DC6EFC"/>
    <w:rsid w:val="00DD00FF"/>
    <w:rsid w:val="00DD0619"/>
    <w:rsid w:val="00DD07FB"/>
    <w:rsid w:val="00DD25C6"/>
    <w:rsid w:val="00DD4FE5"/>
    <w:rsid w:val="00DD54B0"/>
    <w:rsid w:val="00DD57EE"/>
    <w:rsid w:val="00DD6BCC"/>
    <w:rsid w:val="00DD794D"/>
    <w:rsid w:val="00DE0A4B"/>
    <w:rsid w:val="00DE2410"/>
    <w:rsid w:val="00DE2939"/>
    <w:rsid w:val="00DE6E81"/>
    <w:rsid w:val="00DE703F"/>
    <w:rsid w:val="00DE7595"/>
    <w:rsid w:val="00DF1961"/>
    <w:rsid w:val="00DF44DE"/>
    <w:rsid w:val="00DF5F11"/>
    <w:rsid w:val="00E01138"/>
    <w:rsid w:val="00E02BC1"/>
    <w:rsid w:val="00E02DFB"/>
    <w:rsid w:val="00E030F9"/>
    <w:rsid w:val="00E0311A"/>
    <w:rsid w:val="00E03138"/>
    <w:rsid w:val="00E06404"/>
    <w:rsid w:val="00E065D2"/>
    <w:rsid w:val="00E11A85"/>
    <w:rsid w:val="00E12495"/>
    <w:rsid w:val="00E15CCD"/>
    <w:rsid w:val="00E20024"/>
    <w:rsid w:val="00E202EF"/>
    <w:rsid w:val="00E210B5"/>
    <w:rsid w:val="00E23D99"/>
    <w:rsid w:val="00E2552F"/>
    <w:rsid w:val="00E3137A"/>
    <w:rsid w:val="00E32CCF"/>
    <w:rsid w:val="00E34A98"/>
    <w:rsid w:val="00E35CD1"/>
    <w:rsid w:val="00E35D1E"/>
    <w:rsid w:val="00E364F9"/>
    <w:rsid w:val="00E365FA"/>
    <w:rsid w:val="00E36789"/>
    <w:rsid w:val="00E43418"/>
    <w:rsid w:val="00E44A83"/>
    <w:rsid w:val="00E502C1"/>
    <w:rsid w:val="00E502DD"/>
    <w:rsid w:val="00E50D3A"/>
    <w:rsid w:val="00E51131"/>
    <w:rsid w:val="00E51387"/>
    <w:rsid w:val="00E51E68"/>
    <w:rsid w:val="00E52EFD"/>
    <w:rsid w:val="00E5408A"/>
    <w:rsid w:val="00E56800"/>
    <w:rsid w:val="00E60C63"/>
    <w:rsid w:val="00E6266A"/>
    <w:rsid w:val="00E62FF9"/>
    <w:rsid w:val="00E635D6"/>
    <w:rsid w:val="00E639BC"/>
    <w:rsid w:val="00E664CC"/>
    <w:rsid w:val="00E70388"/>
    <w:rsid w:val="00E70F92"/>
    <w:rsid w:val="00E72840"/>
    <w:rsid w:val="00E74C54"/>
    <w:rsid w:val="00E77A03"/>
    <w:rsid w:val="00E77F27"/>
    <w:rsid w:val="00E800A9"/>
    <w:rsid w:val="00E818BF"/>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7B7A"/>
    <w:rsid w:val="00ED067A"/>
    <w:rsid w:val="00ED268C"/>
    <w:rsid w:val="00ED2B50"/>
    <w:rsid w:val="00ED46E8"/>
    <w:rsid w:val="00EE0350"/>
    <w:rsid w:val="00EE0719"/>
    <w:rsid w:val="00EE0E80"/>
    <w:rsid w:val="00EE54A6"/>
    <w:rsid w:val="00EE613F"/>
    <w:rsid w:val="00EE7295"/>
    <w:rsid w:val="00EE7869"/>
    <w:rsid w:val="00EE7F68"/>
    <w:rsid w:val="00EF054A"/>
    <w:rsid w:val="00EF1ECD"/>
    <w:rsid w:val="00EF23EA"/>
    <w:rsid w:val="00EF3235"/>
    <w:rsid w:val="00EF738E"/>
    <w:rsid w:val="00EF7E72"/>
    <w:rsid w:val="00F014A0"/>
    <w:rsid w:val="00F06D37"/>
    <w:rsid w:val="00F07B9D"/>
    <w:rsid w:val="00F10D86"/>
    <w:rsid w:val="00F11586"/>
    <w:rsid w:val="00F1183B"/>
    <w:rsid w:val="00F11C9F"/>
    <w:rsid w:val="00F12263"/>
    <w:rsid w:val="00F13457"/>
    <w:rsid w:val="00F1409D"/>
    <w:rsid w:val="00F14214"/>
    <w:rsid w:val="00F157A9"/>
    <w:rsid w:val="00F25BB6"/>
    <w:rsid w:val="00F26B7E"/>
    <w:rsid w:val="00F27A3B"/>
    <w:rsid w:val="00F309BA"/>
    <w:rsid w:val="00F31108"/>
    <w:rsid w:val="00F33817"/>
    <w:rsid w:val="00F3504E"/>
    <w:rsid w:val="00F358A2"/>
    <w:rsid w:val="00F36D31"/>
    <w:rsid w:val="00F36E83"/>
    <w:rsid w:val="00F377B3"/>
    <w:rsid w:val="00F4123C"/>
    <w:rsid w:val="00F4128F"/>
    <w:rsid w:val="00F420D5"/>
    <w:rsid w:val="00F451EA"/>
    <w:rsid w:val="00F45447"/>
    <w:rsid w:val="00F456C6"/>
    <w:rsid w:val="00F4577B"/>
    <w:rsid w:val="00F46496"/>
    <w:rsid w:val="00F474D0"/>
    <w:rsid w:val="00F50179"/>
    <w:rsid w:val="00F515EE"/>
    <w:rsid w:val="00F52EC0"/>
    <w:rsid w:val="00F55FAD"/>
    <w:rsid w:val="00F56511"/>
    <w:rsid w:val="00F6194E"/>
    <w:rsid w:val="00F623AC"/>
    <w:rsid w:val="00F6265A"/>
    <w:rsid w:val="00F6412A"/>
    <w:rsid w:val="00F65893"/>
    <w:rsid w:val="00F66A4A"/>
    <w:rsid w:val="00F67020"/>
    <w:rsid w:val="00F71E22"/>
    <w:rsid w:val="00F72142"/>
    <w:rsid w:val="00F72AE7"/>
    <w:rsid w:val="00F77FF3"/>
    <w:rsid w:val="00F81141"/>
    <w:rsid w:val="00F82F38"/>
    <w:rsid w:val="00F833BA"/>
    <w:rsid w:val="00F84FD0"/>
    <w:rsid w:val="00F859A8"/>
    <w:rsid w:val="00F86D87"/>
    <w:rsid w:val="00F90537"/>
    <w:rsid w:val="00F9108B"/>
    <w:rsid w:val="00F91349"/>
    <w:rsid w:val="00F93A8A"/>
    <w:rsid w:val="00F93CBC"/>
    <w:rsid w:val="00F940B6"/>
    <w:rsid w:val="00F95248"/>
    <w:rsid w:val="00F956A9"/>
    <w:rsid w:val="00F963ED"/>
    <w:rsid w:val="00F966CF"/>
    <w:rsid w:val="00F96CAE"/>
    <w:rsid w:val="00F97C99"/>
    <w:rsid w:val="00FA2DB2"/>
    <w:rsid w:val="00FA4DAC"/>
    <w:rsid w:val="00FA517B"/>
    <w:rsid w:val="00FA662D"/>
    <w:rsid w:val="00FA73B1"/>
    <w:rsid w:val="00FB0CB9"/>
    <w:rsid w:val="00FB231D"/>
    <w:rsid w:val="00FB30DB"/>
    <w:rsid w:val="00FB45F1"/>
    <w:rsid w:val="00FB4A72"/>
    <w:rsid w:val="00FB54E8"/>
    <w:rsid w:val="00FB7054"/>
    <w:rsid w:val="00FB72E9"/>
    <w:rsid w:val="00FC17B7"/>
    <w:rsid w:val="00FC2CB7"/>
    <w:rsid w:val="00FC4090"/>
    <w:rsid w:val="00FC55B4"/>
    <w:rsid w:val="00FC5B1E"/>
    <w:rsid w:val="00FD00E6"/>
    <w:rsid w:val="00FD09A1"/>
    <w:rsid w:val="00FD0CB2"/>
    <w:rsid w:val="00FD2A7C"/>
    <w:rsid w:val="00FD59EB"/>
    <w:rsid w:val="00FD7299"/>
    <w:rsid w:val="00FE1FBE"/>
    <w:rsid w:val="00FE3901"/>
    <w:rsid w:val="00FE39D3"/>
    <w:rsid w:val="00FE4BCE"/>
    <w:rsid w:val="00FE54AE"/>
    <w:rsid w:val="00FE576A"/>
    <w:rsid w:val="00FE7E79"/>
    <w:rsid w:val="00FF390A"/>
    <w:rsid w:val="00FF3C1A"/>
    <w:rsid w:val="00FF3E7D"/>
    <w:rsid w:val="00FF3F22"/>
    <w:rsid w:val="00FF5B99"/>
    <w:rsid w:val="00FF730C"/>
    <w:rsid w:val="00FF73F4"/>
    <w:rsid w:val="00FF7CE4"/>
    <w:rsid w:val="00FF7E39"/>
    <w:rsid w:val="024737BC"/>
    <w:rsid w:val="03441443"/>
    <w:rsid w:val="04D14329"/>
    <w:rsid w:val="0A8F513A"/>
    <w:rsid w:val="15FD51CF"/>
    <w:rsid w:val="19492429"/>
    <w:rsid w:val="195D4946"/>
    <w:rsid w:val="1E0C1579"/>
    <w:rsid w:val="209B63CC"/>
    <w:rsid w:val="27497A52"/>
    <w:rsid w:val="2F9809CB"/>
    <w:rsid w:val="34542F7D"/>
    <w:rsid w:val="37C84678"/>
    <w:rsid w:val="390F18D5"/>
    <w:rsid w:val="41523E47"/>
    <w:rsid w:val="48730DCF"/>
    <w:rsid w:val="4B0271B5"/>
    <w:rsid w:val="4C910307"/>
    <w:rsid w:val="51C45F63"/>
    <w:rsid w:val="54756365"/>
    <w:rsid w:val="5B551FAD"/>
    <w:rsid w:val="5FA1089F"/>
    <w:rsid w:val="6A3B16D9"/>
    <w:rsid w:val="70477F1B"/>
    <w:rsid w:val="74190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15:docId w15:val="{4C2FF4CB-DC27-4A0C-A6C5-6F3661F91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uiPriority w:val="9"/>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9"/>
    <w:qFormat/>
    <w:pPr>
      <w:keepNext/>
      <w:keepLines/>
      <w:spacing w:before="260" w:after="260" w:line="416" w:lineRule="auto"/>
      <w:outlineLvl w:val="2"/>
    </w:pPr>
    <w:rPr>
      <w:b/>
      <w:bCs/>
      <w:sz w:val="32"/>
      <w:szCs w:val="32"/>
    </w:rPr>
  </w:style>
  <w:style w:type="paragraph" w:styleId="4">
    <w:name w:val="heading 4"/>
    <w:basedOn w:val="afff5"/>
    <w:next w:val="afff5"/>
    <w:link w:val="4Char"/>
    <w:uiPriority w:val="99"/>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annotation text"/>
    <w:basedOn w:val="afff5"/>
    <w:link w:val="Char0"/>
    <w:uiPriority w:val="99"/>
    <w:unhideWhenUsed/>
    <w:qFormat/>
    <w:pPr>
      <w:jc w:val="left"/>
    </w:pPr>
  </w:style>
  <w:style w:type="paragraph" w:styleId="afffc">
    <w:name w:val="Body Text"/>
    <w:basedOn w:val="afff5"/>
    <w:link w:val="Char1"/>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Char2"/>
    <w:uiPriority w:val="99"/>
    <w:semiHidden/>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2">
    <w:name w:val="Normal (Web)"/>
    <w:basedOn w:val="afff5"/>
    <w:qFormat/>
    <w:pPr>
      <w:spacing w:beforeAutospacing="1" w:afterAutospacing="1"/>
      <w:jc w:val="left"/>
    </w:pPr>
    <w:rPr>
      <w:kern w:val="0"/>
      <w:sz w:val="24"/>
    </w:rPr>
  </w:style>
  <w:style w:type="paragraph" w:styleId="affff3">
    <w:name w:val="Title"/>
    <w:basedOn w:val="afff5"/>
    <w:link w:val="Char6"/>
    <w:qFormat/>
    <w:pPr>
      <w:spacing w:before="240" w:after="60"/>
      <w:jc w:val="center"/>
      <w:outlineLvl w:val="0"/>
    </w:pPr>
    <w:rPr>
      <w:rFonts w:ascii="Arial" w:hAnsi="Arial" w:cs="Arial"/>
      <w:b/>
      <w:bCs/>
      <w:sz w:val="32"/>
      <w:szCs w:val="32"/>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uiPriority w:val="9"/>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uiPriority w:val="99"/>
    <w:qFormat/>
    <w:rPr>
      <w:b/>
      <w:bCs/>
      <w:kern w:val="2"/>
      <w:sz w:val="32"/>
      <w:szCs w:val="32"/>
    </w:rPr>
  </w:style>
  <w:style w:type="character" w:customStyle="1" w:styleId="4Char">
    <w:name w:val="标题 4 Char"/>
    <w:link w:val="4"/>
    <w:uiPriority w:val="99"/>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
    <w:uiPriority w:val="99"/>
    <w:qFormat/>
    <w:rPr>
      <w:kern w:val="2"/>
      <w:sz w:val="18"/>
      <w:szCs w:val="18"/>
    </w:rPr>
  </w:style>
  <w:style w:type="character" w:customStyle="1" w:styleId="Char3">
    <w:name w:val="页脚 Char"/>
    <w:link w:val="afffe"/>
    <w:uiPriority w:val="99"/>
    <w:qFormat/>
    <w:rPr>
      <w:rFonts w:ascii="宋体"/>
      <w:kern w:val="2"/>
      <w:sz w:val="18"/>
      <w:szCs w:val="18"/>
    </w:rPr>
  </w:style>
  <w:style w:type="character" w:customStyle="1" w:styleId="Char2">
    <w:name w:val="批注框文本 Char"/>
    <w:link w:val="afffd"/>
    <w:uiPriority w:val="99"/>
    <w:semiHidden/>
    <w:qFormat/>
    <w:rPr>
      <w:kern w:val="2"/>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6">
    <w:name w:val="标题 Char"/>
    <w:link w:val="affff3"/>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2"/>
    <w:qFormat/>
    <w:pPr>
      <w:widowControl w:val="0"/>
      <w:numPr>
        <w:ilvl w:val="3"/>
        <w:numId w:val="2"/>
      </w:numPr>
      <w:spacing w:beforeLines="50" w:afterLines="50"/>
      <w:ind w:left="567"/>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2"/>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2"/>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2"/>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2"/>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c"/>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5">
    <w:name w:val="脚注文本 Char"/>
    <w:link w:val="affff0"/>
    <w:semiHidden/>
    <w:qFormat/>
    <w:rPr>
      <w:rFonts w:ascii="宋体"/>
      <w:kern w:val="2"/>
      <w:sz w:val="18"/>
      <w:szCs w:val="18"/>
    </w:rPr>
  </w:style>
  <w:style w:type="paragraph" w:customStyle="1" w:styleId="affffff9">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2"/>
    <w:qFormat/>
    <w:pPr>
      <w:numPr>
        <w:ilvl w:val="2"/>
      </w:numPr>
      <w:spacing w:beforeLines="50" w:afterLines="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2"/>
    <w:pPr>
      <w:numPr>
        <w:numId w:val="18"/>
      </w:numPr>
      <w:jc w:val="center"/>
    </w:pPr>
    <w:rPr>
      <w:rFonts w:ascii="黑体" w:eastAsia="黑体" w:hAnsi="Times New Roman"/>
      <w:sz w:val="21"/>
    </w:rPr>
  </w:style>
  <w:style w:type="paragraph" w:customStyle="1" w:styleId="afb">
    <w:name w:val="标准文件_正文英文图标题"/>
    <w:next w:val="afffff2"/>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afterLines="0"/>
      <w:outlineLvl w:val="9"/>
    </w:pPr>
    <w:rPr>
      <w:rFonts w:ascii="宋体" w:eastAsia="宋体"/>
    </w:rPr>
  </w:style>
  <w:style w:type="paragraph" w:customStyle="1" w:styleId="affffffffc">
    <w:name w:val="标准文件_五级无标题"/>
    <w:basedOn w:val="afff1"/>
    <w:qFormat/>
    <w:pPr>
      <w:spacing w:beforeLines="0" w:afterLines="0"/>
      <w:outlineLvl w:val="9"/>
    </w:pPr>
    <w:rPr>
      <w:rFonts w:ascii="宋体" w:eastAsia="宋体"/>
    </w:rPr>
  </w:style>
  <w:style w:type="paragraph" w:customStyle="1" w:styleId="affffffffd">
    <w:name w:val="标准文件_三级无标题"/>
    <w:basedOn w:val="afff"/>
    <w:qFormat/>
    <w:pPr>
      <w:spacing w:beforeLines="0" w:afterLines="0"/>
      <w:outlineLvl w:val="9"/>
    </w:pPr>
    <w:rPr>
      <w:rFonts w:ascii="宋体" w:eastAsia="宋体"/>
    </w:rPr>
  </w:style>
  <w:style w:type="paragraph" w:customStyle="1" w:styleId="affffffffe">
    <w:name w:val="标准文件_二级无标题"/>
    <w:basedOn w:val="affe"/>
    <w:qFormat/>
    <w:pPr>
      <w:spacing w:beforeLines="0" w:afterLines="0"/>
      <w:ind w:left="2409"/>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afterLines="0" w:line="276" w:lineRule="auto"/>
      <w:outlineLvl w:val="9"/>
    </w:pPr>
    <w:rPr>
      <w:rFonts w:ascii="宋体" w:eastAsia="宋体"/>
    </w:rPr>
  </w:style>
  <w:style w:type="paragraph" w:customStyle="1" w:styleId="affffffffff6">
    <w:name w:val="标准文件_附录二级无标题"/>
    <w:basedOn w:val="aff5"/>
    <w:qFormat/>
    <w:pPr>
      <w:spacing w:beforeLines="0" w:afterLines="0" w:line="276" w:lineRule="auto"/>
      <w:outlineLvl w:val="9"/>
    </w:pPr>
    <w:rPr>
      <w:rFonts w:ascii="宋体" w:eastAsia="宋体"/>
    </w:rPr>
  </w:style>
  <w:style w:type="paragraph" w:customStyle="1" w:styleId="affffffffff7">
    <w:name w:val="标准文件_附录三级无标题"/>
    <w:basedOn w:val="aff6"/>
    <w:qFormat/>
    <w:pPr>
      <w:spacing w:beforeLines="0" w:afterLines="0" w:line="276" w:lineRule="auto"/>
      <w:outlineLvl w:val="9"/>
    </w:pPr>
    <w:rPr>
      <w:rFonts w:ascii="宋体" w:eastAsia="宋体"/>
    </w:rPr>
  </w:style>
  <w:style w:type="paragraph" w:customStyle="1" w:styleId="affffffffff8">
    <w:name w:val="标准文件_附录四级无标题"/>
    <w:basedOn w:val="aff7"/>
    <w:qFormat/>
    <w:pPr>
      <w:spacing w:beforeLines="0" w:afterLines="0" w:line="276" w:lineRule="auto"/>
      <w:outlineLvl w:val="9"/>
    </w:pPr>
    <w:rPr>
      <w:rFonts w:ascii="宋体" w:eastAsia="宋体"/>
    </w:rPr>
  </w:style>
  <w:style w:type="paragraph" w:customStyle="1" w:styleId="affffffffff9">
    <w:name w:val="标准文件_附录五级无标题"/>
    <w:basedOn w:val="aff8"/>
    <w:qFormat/>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pPr>
      <w:spacing w:beforeLines="0" w:afterLines="0" w:line="276" w:lineRule="auto"/>
    </w:pPr>
    <w:rPr>
      <w:rFonts w:ascii="宋体" w:eastAsia="宋体"/>
    </w:rPr>
  </w:style>
  <w:style w:type="paragraph" w:customStyle="1" w:styleId="affffffffffb">
    <w:name w:val="标准文件_引言二级无标题"/>
    <w:basedOn w:val="a8"/>
    <w:next w:val="afffff2"/>
    <w:qFormat/>
    <w:pPr>
      <w:spacing w:beforeLines="0" w:afterLines="0" w:line="276" w:lineRule="auto"/>
    </w:pPr>
    <w:rPr>
      <w:rFonts w:ascii="宋体" w:eastAsia="宋体"/>
    </w:rPr>
  </w:style>
  <w:style w:type="paragraph" w:customStyle="1" w:styleId="affffffffffc">
    <w:name w:val="标准文件_引言三级无标题"/>
    <w:basedOn w:val="a9"/>
    <w:qFormat/>
    <w:pPr>
      <w:spacing w:beforeLines="0" w:afterLines="0" w:line="276" w:lineRule="auto"/>
    </w:pPr>
    <w:rPr>
      <w:rFonts w:ascii="宋体" w:eastAsia="宋体"/>
    </w:rPr>
  </w:style>
  <w:style w:type="paragraph" w:customStyle="1" w:styleId="affffffffffd">
    <w:name w:val="标准文件_引言四级无标题"/>
    <w:basedOn w:val="aa"/>
    <w:next w:val="afffff2"/>
    <w:qFormat/>
    <w:pPr>
      <w:spacing w:beforeLines="0" w:afterLines="0" w:line="276" w:lineRule="auto"/>
    </w:pPr>
    <w:rPr>
      <w:rFonts w:ascii="宋体" w:eastAsia="宋体"/>
    </w:rPr>
  </w:style>
  <w:style w:type="paragraph" w:customStyle="1" w:styleId="affffffffffe">
    <w:name w:val="标准文件_引言五级无标题"/>
    <w:basedOn w:val="ab"/>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paragraph" w:customStyle="1" w:styleId="12">
    <w:name w:val="正文1"/>
    <w:qFormat/>
    <w:pPr>
      <w:jc w:val="both"/>
    </w:pPr>
    <w:rPr>
      <w:rFonts w:cs="Calibri"/>
      <w:kern w:val="2"/>
      <w:sz w:val="21"/>
      <w:szCs w:val="21"/>
    </w:rPr>
  </w:style>
  <w:style w:type="paragraph" w:customStyle="1" w:styleId="Style13">
    <w:name w:val="_Style 13"/>
    <w:basedOn w:val="afff5"/>
    <w:qFormat/>
    <w:pPr>
      <w:widowControl/>
      <w:adjustRightInd/>
      <w:spacing w:before="120" w:after="120" w:line="288" w:lineRule="auto"/>
      <w:jc w:val="left"/>
    </w:pPr>
    <w:rPr>
      <w:rFonts w:ascii="Arial" w:eastAsia="等线" w:hAnsi="Arial" w:cs="Arial"/>
      <w:kern w:val="0"/>
      <w:sz w:val="22"/>
      <w:szCs w:val="22"/>
    </w:rPr>
  </w:style>
  <w:style w:type="paragraph" w:customStyle="1" w:styleId="TableParagraph">
    <w:name w:val="Table Paragraph"/>
    <w:basedOn w:val="afff5"/>
    <w:qFormat/>
    <w:pPr>
      <w:autoSpaceDE w:val="0"/>
      <w:autoSpaceDN w:val="0"/>
      <w:adjustRightInd/>
      <w:spacing w:line="240" w:lineRule="auto"/>
      <w:jc w:val="center"/>
    </w:pPr>
    <w:rPr>
      <w:rFonts w:ascii="宋体" w:hAnsi="宋体" w:cs="宋体"/>
      <w:kern w:val="0"/>
      <w:sz w:val="22"/>
      <w:szCs w:val="22"/>
    </w:rPr>
  </w:style>
  <w:style w:type="paragraph" w:customStyle="1" w:styleId="24">
    <w:name w:val="正文2"/>
    <w:qFormat/>
    <w:pPr>
      <w:jc w:val="both"/>
    </w:pPr>
    <w:rPr>
      <w:rFonts w:ascii="Times New Roman" w:hAnsi="Times New Roman"/>
      <w:kern w:val="2"/>
      <w:sz w:val="21"/>
      <w:szCs w:val="21"/>
    </w:rPr>
  </w:style>
  <w:style w:type="paragraph" w:customStyle="1" w:styleId="32">
    <w:name w:val="正文3"/>
    <w:qFormat/>
    <w:pPr>
      <w:jc w:val="both"/>
    </w:pPr>
    <w:rPr>
      <w:rFonts w:ascii="Times New Roman" w:hAnsi="Times New Roman"/>
      <w:kern w:val="2"/>
      <w:sz w:val="21"/>
      <w:szCs w:val="21"/>
    </w:rPr>
  </w:style>
  <w:style w:type="character" w:customStyle="1" w:styleId="Char0">
    <w:name w:val="批注文字 Char"/>
    <w:basedOn w:val="afff6"/>
    <w:link w:val="afffb"/>
    <w:uiPriority w:val="99"/>
    <w:qFormat/>
    <w:rPr>
      <w:kern w:val="2"/>
      <w:sz w:val="21"/>
      <w:szCs w:val="21"/>
    </w:rPr>
  </w:style>
  <w:style w:type="paragraph" w:customStyle="1" w:styleId="42">
    <w:name w:val="正文4"/>
    <w:qFormat/>
    <w:pPr>
      <w:jc w:val="both"/>
    </w:pPr>
    <w:rPr>
      <w:rFonts w:cs="Calibri"/>
      <w:kern w:val="2"/>
      <w:sz w:val="21"/>
      <w:szCs w:val="21"/>
    </w:rPr>
  </w:style>
  <w:style w:type="paragraph" w:customStyle="1" w:styleId="52">
    <w:name w:val="正文5"/>
    <w:qFormat/>
    <w:pPr>
      <w:jc w:val="both"/>
    </w:pPr>
    <w:rPr>
      <w:rFonts w:cs="Calibri"/>
      <w:kern w:val="2"/>
      <w:sz w:val="21"/>
      <w:szCs w:val="21"/>
    </w:rPr>
  </w:style>
  <w:style w:type="character" w:customStyle="1" w:styleId="Char">
    <w:name w:val="文档结构图 Char"/>
    <w:basedOn w:val="afff6"/>
    <w:link w:val="afffa"/>
    <w:uiPriority w:val="99"/>
    <w:semiHidden/>
    <w:qFormat/>
    <w:rPr>
      <w:rFonts w:ascii="宋体"/>
      <w:kern w:val="2"/>
      <w:sz w:val="18"/>
      <w:szCs w:val="18"/>
    </w:rPr>
  </w:style>
  <w:style w:type="paragraph" w:customStyle="1" w:styleId="62">
    <w:name w:val="正文6"/>
    <w:qFormat/>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828672">
      <w:bodyDiv w:val="1"/>
      <w:marLeft w:val="0"/>
      <w:marRight w:val="0"/>
      <w:marTop w:val="0"/>
      <w:marBottom w:val="0"/>
      <w:divBdr>
        <w:top w:val="none" w:sz="0" w:space="0" w:color="auto"/>
        <w:left w:val="none" w:sz="0" w:space="0" w:color="auto"/>
        <w:bottom w:val="none" w:sz="0" w:space="0" w:color="auto"/>
        <w:right w:val="none" w:sz="0" w:space="0" w:color="auto"/>
      </w:divBdr>
    </w:div>
    <w:div w:id="1720208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B46C09BBC1B48429E1A0C54E37DF9CA"/>
        <w:category>
          <w:name w:val="常规"/>
          <w:gallery w:val="placeholder"/>
        </w:category>
        <w:types>
          <w:type w:val="bbPlcHdr"/>
        </w:types>
        <w:behaviors>
          <w:behavior w:val="content"/>
        </w:behaviors>
        <w:guid w:val="{3A90985E-021A-4C94-A87C-4C46F5FA17CE}"/>
      </w:docPartPr>
      <w:docPartBody>
        <w:p w:rsidR="006E4447" w:rsidRDefault="006E4447">
          <w:pPr>
            <w:pStyle w:val="2B46C09BBC1B48429E1A0C54E37DF9CA"/>
          </w:pPr>
          <w:r>
            <w:rPr>
              <w:rStyle w:val="a3"/>
              <w:rFonts w:hint="eastAsia"/>
            </w:rPr>
            <w:t>单击或点击此处输入文字。</w:t>
          </w:r>
        </w:p>
      </w:docPartBody>
    </w:docPart>
    <w:docPart>
      <w:docPartPr>
        <w:name w:val="4BD8461B0BB043AB856043EB8450CB76"/>
        <w:category>
          <w:name w:val="常规"/>
          <w:gallery w:val="placeholder"/>
        </w:category>
        <w:types>
          <w:type w:val="bbPlcHdr"/>
        </w:types>
        <w:behaviors>
          <w:behavior w:val="content"/>
        </w:behaviors>
        <w:guid w:val="{B2B84865-F8C4-4F41-88A8-EFD8BE328333}"/>
      </w:docPartPr>
      <w:docPartBody>
        <w:p w:rsidR="006E4447" w:rsidRDefault="006E4447">
          <w:pPr>
            <w:pStyle w:val="4BD8461B0BB043AB856043EB8450CB76"/>
          </w:pPr>
          <w:r>
            <w:rPr>
              <w:rStyle w:val="a3"/>
              <w:rFonts w:hint="eastAsia"/>
            </w:rPr>
            <w:t>选择一项。</w:t>
          </w:r>
        </w:p>
      </w:docPartBody>
    </w:docPart>
    <w:docPart>
      <w:docPartPr>
        <w:name w:val="902CD6BE31D14E479D928DE85B545249"/>
        <w:category>
          <w:name w:val="常规"/>
          <w:gallery w:val="placeholder"/>
        </w:category>
        <w:types>
          <w:type w:val="bbPlcHdr"/>
        </w:types>
        <w:behaviors>
          <w:behavior w:val="content"/>
        </w:behaviors>
        <w:guid w:val="{14A2DEC7-C0E6-45D4-A6E7-A611C9F45D26}"/>
      </w:docPartPr>
      <w:docPartBody>
        <w:p w:rsidR="006E4447" w:rsidRDefault="006E4447">
          <w:pPr>
            <w:pStyle w:val="902CD6BE31D14E479D928DE85B5452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45CC4"/>
    <w:rsid w:val="000323F0"/>
    <w:rsid w:val="00046FDC"/>
    <w:rsid w:val="000A1185"/>
    <w:rsid w:val="000E0235"/>
    <w:rsid w:val="00135887"/>
    <w:rsid w:val="001714DE"/>
    <w:rsid w:val="00182A2E"/>
    <w:rsid w:val="001D22F7"/>
    <w:rsid w:val="00203743"/>
    <w:rsid w:val="0020511E"/>
    <w:rsid w:val="0022583F"/>
    <w:rsid w:val="002756D8"/>
    <w:rsid w:val="002C5882"/>
    <w:rsid w:val="002F3032"/>
    <w:rsid w:val="00305857"/>
    <w:rsid w:val="003A450A"/>
    <w:rsid w:val="003D3211"/>
    <w:rsid w:val="00412CB7"/>
    <w:rsid w:val="004518ED"/>
    <w:rsid w:val="00491914"/>
    <w:rsid w:val="004B323D"/>
    <w:rsid w:val="005042DD"/>
    <w:rsid w:val="00540005"/>
    <w:rsid w:val="0054072E"/>
    <w:rsid w:val="00556BBE"/>
    <w:rsid w:val="005B7AF6"/>
    <w:rsid w:val="005D22D6"/>
    <w:rsid w:val="00690800"/>
    <w:rsid w:val="006A69E5"/>
    <w:rsid w:val="006E4447"/>
    <w:rsid w:val="006F0590"/>
    <w:rsid w:val="007406B8"/>
    <w:rsid w:val="007952D7"/>
    <w:rsid w:val="007B47DB"/>
    <w:rsid w:val="008352CB"/>
    <w:rsid w:val="00860B77"/>
    <w:rsid w:val="00892687"/>
    <w:rsid w:val="008B360E"/>
    <w:rsid w:val="008D2331"/>
    <w:rsid w:val="00903DDC"/>
    <w:rsid w:val="00922C74"/>
    <w:rsid w:val="00933EBE"/>
    <w:rsid w:val="00947424"/>
    <w:rsid w:val="00952D94"/>
    <w:rsid w:val="009A136D"/>
    <w:rsid w:val="00A146FE"/>
    <w:rsid w:val="00A169A5"/>
    <w:rsid w:val="00A273A8"/>
    <w:rsid w:val="00AC3B5C"/>
    <w:rsid w:val="00B45CC4"/>
    <w:rsid w:val="00B562E1"/>
    <w:rsid w:val="00B60EE8"/>
    <w:rsid w:val="00C473F7"/>
    <w:rsid w:val="00C729B4"/>
    <w:rsid w:val="00CF5D6E"/>
    <w:rsid w:val="00D046B5"/>
    <w:rsid w:val="00D47FA5"/>
    <w:rsid w:val="00D818BC"/>
    <w:rsid w:val="00D90D7C"/>
    <w:rsid w:val="00D94759"/>
    <w:rsid w:val="00DE0BA1"/>
    <w:rsid w:val="00E66BC8"/>
    <w:rsid w:val="00F213E2"/>
    <w:rsid w:val="00F75DD7"/>
    <w:rsid w:val="00F979E4"/>
    <w:rsid w:val="00FA0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B46C09BBC1B48429E1A0C54E37DF9CA">
    <w:name w:val="2B46C09BBC1B48429E1A0C54E37DF9CA"/>
    <w:qFormat/>
    <w:pPr>
      <w:widowControl w:val="0"/>
      <w:jc w:val="both"/>
    </w:pPr>
    <w:rPr>
      <w:kern w:val="2"/>
      <w:sz w:val="21"/>
      <w:szCs w:val="22"/>
    </w:rPr>
  </w:style>
  <w:style w:type="paragraph" w:customStyle="1" w:styleId="4BD8461B0BB043AB856043EB8450CB76">
    <w:name w:val="4BD8461B0BB043AB856043EB8450CB76"/>
    <w:qFormat/>
    <w:pPr>
      <w:widowControl w:val="0"/>
      <w:jc w:val="both"/>
    </w:pPr>
    <w:rPr>
      <w:kern w:val="2"/>
      <w:sz w:val="21"/>
      <w:szCs w:val="22"/>
    </w:rPr>
  </w:style>
  <w:style w:type="paragraph" w:customStyle="1" w:styleId="902CD6BE31D14E479D928DE85B545249">
    <w:name w:val="902CD6BE31D14E479D928DE85B54524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E0956-DFBA-4ABE-92A4-C6D039638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895</TotalTime>
  <Pages>1</Pages>
  <Words>2517</Words>
  <Characters>14351</Characters>
  <Application>Microsoft Office Word</Application>
  <DocSecurity>0</DocSecurity>
  <Lines>119</Lines>
  <Paragraphs>33</Paragraphs>
  <ScaleCrop>false</ScaleCrop>
  <Company>PCMI</Company>
  <LinksUpToDate>false</LinksUpToDate>
  <CharactersWithSpaces>16835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dell</cp:lastModifiedBy>
  <cp:revision>15</cp:revision>
  <cp:lastPrinted>2025-04-03T04:37:00Z</cp:lastPrinted>
  <dcterms:created xsi:type="dcterms:W3CDTF">2025-04-17T07:26:00Z</dcterms:created>
  <dcterms:modified xsi:type="dcterms:W3CDTF">2025-05-28T06:58:00Z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eyJoZGlkIjoiNGY0Yjc2YWZkM2E1ZmUxOTU5NGI5MWMxZDVjMzMwZTYiLCJ1c2VySWQiOiIzODUyOTU2NjQifQ==</vt:lpwstr>
  </property>
  <property fmtid="{D5CDD505-2E9C-101B-9397-08002B2CF9AE}" pid="15" name="KSOProductBuildVer">
    <vt:lpwstr>2052-12.1.0.20784</vt:lpwstr>
  </property>
  <property fmtid="{D5CDD505-2E9C-101B-9397-08002B2CF9AE}" pid="16" name="ICV">
    <vt:lpwstr>B11A109D043B4C5EB12161D4D40A2903_13</vt:lpwstr>
  </property>
</Properties>
</file>